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Genehmigung Due-Diligence-Prozess (potenzielle Series-C / Trade Sale)</w:t>
      </w:r>
    </w:p>
    <w:p>
      <w:pPr>
        <w:jc w:val="center"/>
      </w:pPr>
      <w:r>
        <w:t>Vorlage Sitzung vom 8. Oktober 2024; Beschlusserlass 8. Oktober 2024</w:t>
      </w:r>
    </w:p>
    <w:p/>
    <w:p>
      <w:pPr>
        <w:pStyle w:val="Heading3"/>
      </w:pPr>
      <w:r>
        <w:t>Praeambel</w:t>
      </w:r>
    </w:p>
    <w:p>
      <w:r>
        <w:t>Der Beirat der Sentavia Precision GmbH hat in der Sitzung vom 8. Oktober 2024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Im Hinblick auf die strategische Roadmap 2025-2027 hat die Geschaeftsfuehrung ein Sondierungs-Mandat an Goldman Sachs (Frankfurt) erteilt zur Bewertung von zwei alternativen Wachstumspfaden: (a) Series-C-Finanzierungsrunde 60-80 Mio. EUR oder (b) Trade Sale an einen strategischen Investor. Erste Due-Diligence-Anfragen sind eingegangen.</w:t>
      </w:r>
    </w:p>
    <w:p>
      <w:pPr>
        <w:pStyle w:val="Heading3"/>
      </w:pPr>
      <w:r>
        <w:t>Beschluss</w:t>
      </w:r>
    </w:p>
    <w:p>
      <w:pPr>
        <w:pStyle w:val="Heading4"/>
      </w:pPr>
      <w:r>
        <w:t>§ 1 Beschlussfassung</w:t>
      </w:r>
    </w:p>
    <w:p>
      <w:r>
        <w:rPr>
          <w:b/>
        </w:rPr>
        <w:t xml:space="preserve">(1) </w:t>
      </w:r>
      <w:r>
        <w:t>Der Beirat genehmigt die Eroeffnung eines strukturierten Due-Diligence-Prozesses unter Leitung der Geschaeftsfuehrung mit Beratung durch Goldman Sachs. Datenraum-Aufbau Q4/2024; LOI-Phase voraussichtlich Q1/2025. Investoren-Update am 15. Dezember 2024.</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8. Oktober 2024</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