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Geschäftsführer-Anstellungsvertrag – Dr. Marcus Vogt</w:t>
      </w:r>
    </w:p>
    <w:p>
      <w:pPr>
        <w:jc w:val="center"/>
      </w:pPr>
      <w:r>
        <w:t>zwischen Sentavia Precision GmbH und Dr. Marcus Vogt</w:t>
      </w:r>
    </w:p>
    <w:p/>
    <w:p>
      <w:pPr>
        <w:pStyle w:val="Heading2"/>
        <w:jc w:val="center"/>
      </w:pPr>
      <w:r>
        <w:t>ANSTELLUNGSVERTRAG</w:t>
      </w:r>
    </w:p>
    <w:p>
      <w:r>
        <w:t>zwischen</w:t>
        <w:br/>
        <w:br/>
        <w:t>Sentavia Precision GmbH, Freimannstraße 45, 80939 München, HRB 218934</w:t>
        <w:br/>
        <w:t>– nachfolgend "Gesellschaft" –</w:t>
        <w:br/>
        <w:br/>
        <w:t>und</w:t>
        <w:br/>
        <w:br/>
        <w:t>Dr. Marcus Vogt, geboren am 26. Januar 1982, wohnhaft in München</w:t>
        <w:br/>
        <w:t>– nachfolgend "Geschäftsführer" –</w:t>
      </w:r>
    </w:p>
    <w:p>
      <w:pPr>
        <w:pStyle w:val="Heading3"/>
      </w:pPr>
      <w:r>
        <w:t>§ 1 Bestellung und Aufgaben</w:t>
      </w:r>
    </w:p>
    <w:p>
      <w:r>
        <w:rPr>
          <w:b/>
        </w:rPr>
        <w:t xml:space="preserve">(1) </w:t>
      </w:r>
      <w:r>
        <w:t>Der Geschäftsführer wird mit Wirkung ab dem 1. Januar 2019 als Geschäftsführer (CTO) der Gesellschaft bestellt. Die Bestellung erfolgt durch Gesellschafterbeschluss.</w:t>
      </w:r>
    </w:p>
    <w:p>
      <w:r>
        <w:rPr>
          <w:b/>
        </w:rPr>
        <w:t xml:space="preserve">(2) </w:t>
      </w:r>
      <w:r>
        <w:t>Der Geschäftsführer ist für die Leitung, Organisation und strategische Ausrichtung des ihm zugewiesenen Geschäftsbereichs verantwortlich. Er handelt im Rahmen der gesetzlichen Vorschriften, des Gesellschaftsvertrags und der Beschlüsse der Gesellschafterversammlung.</w:t>
      </w:r>
    </w:p>
    <w:p>
      <w:r>
        <w:rPr>
          <w:b/>
        </w:rPr>
        <w:t xml:space="preserve">(3) </w:t>
      </w:r>
      <w:r>
        <w:t>Der Geschäftsführer ist verpflichtet, die Gesellschaft mit der Sorgfalt eines ordentlichen Kaufmanns zu führen (§ 43 GmbHG) und die Interessen der Gesellschaft gegenüber Dritten zu wahren.</w:t>
      </w:r>
    </w:p>
    <w:p>
      <w:pPr>
        <w:pStyle w:val="Heading3"/>
      </w:pPr>
      <w:r>
        <w:t>§ 2 Vergütung</w:t>
      </w:r>
    </w:p>
    <w:p>
      <w:r>
        <w:rPr>
          <w:b/>
        </w:rPr>
        <w:t xml:space="preserve">(1) </w:t>
      </w:r>
      <w:r>
        <w:t>Der Geschäftsführer erhält ein festes Jahresbruttogehalt von 300.000 EUR (brutto), zahlbar in zwölf gleichen Monatsraten jeweils zum letzten Werktag des Monats.</w:t>
      </w:r>
    </w:p>
    <w:p>
      <w:r>
        <w:rPr>
          <w:b/>
        </w:rPr>
        <w:t xml:space="preserve">(2) </w:t>
      </w:r>
      <w:r>
        <w:t>Zusätzlich zum Festgehalt erhält der Geschäftsführer eine jährliche variable Vergütung (Bonus) von bis zu 30 % des Jahresbruttogehalts, die sich nach dem Erreichen individuell festzulegender KPIs und des Unternehmensziels richtet.</w:t>
      </w:r>
    </w:p>
    <w:p>
      <w:r>
        <w:rPr>
          <w:b/>
        </w:rPr>
        <w:t xml:space="preserve">(3) </w:t>
      </w:r>
      <w:r>
        <w:t>Der Gesellschaft steht es frei, dem Geschäftsführer einen Dienstwagen der Mittelklasse (Wert bis zu EUR 80.000 brutto) zur Verfügung zu stellen, der auch privat genutzt werden darf. Der geldwerte Vorteil ist vom Geschäftsführer zu versteuern.</w:t>
      </w:r>
    </w:p>
    <w:p>
      <w:r>
        <w:rPr>
          <w:b/>
        </w:rPr>
        <w:t xml:space="preserve">(4) </w:t>
      </w:r>
      <w:r>
        <w:t>Der Geschäftsführer nimmt an dem Long-Term Incentive Plan (LTIP) der Gesellschaft teil. Einzelheiten werden in einer gesonderten LTIP-Vereinbarung geregelt.</w:t>
      </w:r>
    </w:p>
    <w:p>
      <w:pPr>
        <w:pStyle w:val="Heading3"/>
      </w:pPr>
      <w:r>
        <w:t>§ 3 Arbeitszeit und Urlaub</w:t>
      </w:r>
    </w:p>
    <w:p>
      <w:r>
        <w:rPr>
          <w:b/>
        </w:rPr>
        <w:t xml:space="preserve">(1) </w:t>
      </w:r>
      <w:r>
        <w:t>Der Geschäftsführer ist verpflichtet, seine volle Arbeitskraft der Gesellschaft zu widmen. Er hat die für die ordnungsgemäße Erfüllung seiner Aufgaben erforderliche Arbeitszeit aufzuwenden und ist nicht an feste Arbeitszeiten gebunden.</w:t>
      </w:r>
    </w:p>
    <w:p>
      <w:r>
        <w:rPr>
          <w:b/>
        </w:rPr>
        <w:t xml:space="preserve">(2) </w:t>
      </w:r>
      <w:r>
        <w:t>Der Geschäftsführer hat Anspruch auf 30 Arbeitstage Erholungsurlaub pro Kalenderjahr. Die zeitliche Lage des Urlaubs ist mit der Gesellschafterversammlung abzustimmen und darf die Geschäftstätigkeit der Gesellschaft nicht wesentlich beeinträchtigen.</w:t>
      </w:r>
    </w:p>
    <w:p>
      <w:pPr>
        <w:pStyle w:val="Heading3"/>
      </w:pPr>
      <w:r>
        <w:t>§ 4 Nebentätigkeiten</w:t>
      </w:r>
    </w:p>
    <w:p>
      <w:r>
        <w:rPr>
          <w:b/>
        </w:rPr>
        <w:t xml:space="preserve">(1) </w:t>
      </w:r>
      <w:r>
        <w:t>Entgeltliche oder zeitintensive Nebentätigkeiten bedürfen der vorherigen schriftlichen Zustimmung der Gesellschafterversammlung. Die Zustimmung kann ohne Angabe von Gründen verweigert werden, wenn die Nebentätigkeit die Interessen der Gesellschaft beeinträchtigen könnte.</w:t>
      </w:r>
    </w:p>
    <w:p>
      <w:r>
        <w:rPr>
          <w:b/>
        </w:rPr>
        <w:t xml:space="preserve">(2) </w:t>
      </w:r>
      <w:r>
        <w:t>Unentgeltliche ehrenamtliche Tätigkeiten sowie Tätigkeiten in Berufsverbänden und gemeinnützigen Organisationen sind zustimmungsfrei, sofern sie nicht mehr als 5 Stunden pro Woche in Anspruch nehmen.</w:t>
      </w:r>
    </w:p>
    <w:p>
      <w:pPr>
        <w:pStyle w:val="Heading3"/>
      </w:pPr>
      <w:r>
        <w:t>§ 5 Verschwiegenheitspflicht und Datenschutz</w:t>
      </w:r>
    </w:p>
    <w:p>
      <w:r>
        <w:rPr>
          <w:b/>
        </w:rPr>
        <w:t xml:space="preserve">(1) </w:t>
      </w:r>
      <w:r>
        <w:t>Der Geschäftsführer ist verpflichtet, über alle Geschäfts- und Betriebsgeheimnisse sowie vertraulichen Informationen der Gesellschaft, die ihm in Ausübung seiner Tätigkeit bekannt werden, gegenüber Dritten Stillschweigen zu bewahren. Diese Pflicht gilt auch nach Beendigung des Vertrags.</w:t>
      </w:r>
    </w:p>
    <w:p>
      <w:r>
        <w:rPr>
          <w:b/>
        </w:rPr>
        <w:t xml:space="preserve">(2) </w:t>
      </w:r>
      <w:r>
        <w:t>Als vertraulich gelten insbesondere: Kundendaten, Lieferantenbeziehungen, Produktentwicklungen, Geschäftsstrategien, Finanzdaten sowie Informationen über laufende Verhandlungen und Transaktionen.</w:t>
      </w:r>
    </w:p>
    <w:p>
      <w:pPr>
        <w:pStyle w:val="Heading3"/>
      </w:pPr>
      <w:r>
        <w:t>§ 6 Wettbewerbsverbot</w:t>
      </w:r>
    </w:p>
    <w:p>
      <w:r>
        <w:rPr>
          <w:b/>
        </w:rPr>
        <w:t xml:space="preserve">(1) </w:t>
      </w:r>
      <w:r>
        <w:t>Dem Geschäftsführer ist es während der Dauer dieses Vertrags untersagt, unmittelbar oder mittelbar für ein mit der Gesellschaft konkurrierendes Unternehmen tätig zu werden oder ein solches zu gründen oder zu erwerben.</w:t>
      </w:r>
    </w:p>
    <w:p>
      <w:r>
        <w:rPr>
          <w:b/>
        </w:rPr>
        <w:t xml:space="preserve">(2) </w:t>
      </w:r>
      <w:r>
        <w:t>Nach Beendigung des Vertragsverhältnisses gilt ein nachvertragliches Wettbewerbsverbot von 24 Monaten im Bereich der Entwicklung und des Vertriebs von Medizinprodukten der Klassen IIa, IIb und III sowie von In-vitro-Diagnostika für den europäischen Wirtschaftsraum. Als Karenzentschädigung erhält der Geschäftsführer 50 % seiner zuletzt bezogenen Jahresvergütung.</w:t>
      </w:r>
    </w:p>
    <w:p>
      <w:pPr>
        <w:pStyle w:val="Heading3"/>
      </w:pPr>
      <w:r>
        <w:t>§ 7 Haftung</w:t>
      </w:r>
    </w:p>
    <w:p>
      <w:r>
        <w:rPr>
          <w:b/>
        </w:rPr>
        <w:t xml:space="preserve">(1) </w:t>
      </w:r>
      <w:r>
        <w:t>Der Geschäftsführer haftet der Gesellschaft für Schäden, die er durch die Verletzung seiner Pflichten verursacht hat, gemäß § 43 GmbHG. Im Innenverhältnis haftet er nur für Vorsatz und grobe Fahrlässigkeit, soweit die Gesellschaft keinen Anspruch auf Schadensersatz aus einer D&amp;O-Versicherung geltend machen kann.</w:t>
      </w:r>
    </w:p>
    <w:p>
      <w:r>
        <w:rPr>
          <w:b/>
        </w:rPr>
        <w:t xml:space="preserve">(2) </w:t>
      </w:r>
      <w:r>
        <w:t>Die Gesellschaft schließt für den Geschäftsführer eine D&amp;O-Versicherung (Directors &amp; Officers) mit einem Selbstbehalt gemäß § 93 Abs. 2 AktG in entsprechender Anwendung ab.</w:t>
      </w:r>
    </w:p>
    <w:p>
      <w:pPr>
        <w:pStyle w:val="Heading3"/>
      </w:pPr>
      <w:r>
        <w:t>§ 8 Vertragsdauer und Kündigung</w:t>
      </w:r>
    </w:p>
    <w:p>
      <w:r>
        <w:rPr>
          <w:b/>
        </w:rPr>
        <w:t xml:space="preserve">(1) </w:t>
      </w:r>
      <w:r>
        <w:t>Dieser Anstellungsvertrag wird auf unbestimmte Zeit geschlossen. Er kann von beiden Seiten mit einer Frist von sechs Monaten zum Monatsende gekündigt werden.</w:t>
      </w:r>
    </w:p>
    <w:p>
      <w:r>
        <w:rPr>
          <w:b/>
        </w:rPr>
        <w:t xml:space="preserve">(2) </w:t>
      </w:r>
      <w:r>
        <w:t>Das Recht zur außerordentlichen Kündigung aus wichtigem Grund bleibt unberührt. Als wichtiger Grund gilt insbesondere: grobe Pflichtverletzungen, strafbare Handlungen zu Lasten der Gesellschaft, dauernde Arbeitsunfähigkeit von mehr als 12 Monaten.</w:t>
      </w:r>
    </w:p>
    <w:p>
      <w:r>
        <w:rPr>
          <w:b/>
        </w:rPr>
        <w:t xml:space="preserve">(3) </w:t>
      </w:r>
      <w:r>
        <w:t>Die Abberufung als Geschäftsführer durch die Gesellschafterversammlung gilt gleichzeitig als Kündigung dieses Anstellungsvertrags zum nächstmöglichen Termin, es sei denn, die Kündigung widerspräche zwingendem Recht.</w:t>
      </w:r>
    </w:p>
    <w:p>
      <w:pPr>
        <w:pStyle w:val="Heading3"/>
      </w:pPr>
      <w:r>
        <w:t>§ 9 Schlussbestimmungen</w:t>
      </w:r>
    </w:p>
    <w:p>
      <w:r>
        <w:rPr>
          <w:b/>
        </w:rPr>
        <w:t xml:space="preserve">(1) </w:t>
      </w:r>
      <w:r>
        <w:t>Änderungen und Ergänzungen dieses Vertrags bedürfen der Schriftform. Dies gilt auch für die Abbedingung dieses Schriftformerfordernisses.</w:t>
      </w:r>
    </w:p>
    <w:p>
      <w:r>
        <w:rPr>
          <w:b/>
        </w:rPr>
        <w:t xml:space="preserve">(2) </w:t>
      </w:r>
      <w:r>
        <w:t>Es gilt das Recht der Bundesrepublik Deutschland. Gerichtsstand ist München.</w:t>
      </w:r>
    </w:p>
    <w:p>
      <w:r>
        <w:rPr>
          <w:b/>
        </w:rPr>
        <w:t xml:space="preserve">(3) </w:t>
      </w:r>
      <w:r>
        <w:t>Sollten einzelne Bestimmungen dieses Vertrags unwirksam oder undurchführbar sein, so berührt dies die Wirksamkeit der übrigen Bestimmungen nicht.</w:t>
      </w:r>
    </w:p>
    <w:p>
      <w:r>
        <w:br/>
        <w:br/>
        <w:t>München, den 1. Januar 2022</w:t>
        <w:br/>
        <w:br/>
      </w:r>
    </w:p>
    <w:p>
      <w:r>
        <w:t>_______________________</w:t>
        <w:tab/>
        <w:tab/>
        <w:t>_______________________</w:t>
      </w:r>
    </w:p>
    <w:p>
      <w:r>
        <w:t>Sentavia Precision GmbH</w:t>
        <w:tab/>
        <w:tab/>
        <w:tab/>
        <w:t>Dr. Marcus Vogt</w:t>
      </w:r>
    </w:p>
    <w:p>
      <w:r>
        <w:t>(Gesellschafterin)</w:t>
        <w:tab/>
        <w:tab/>
        <w:tab/>
        <w:t>(Geschäftsführer)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