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Gesellschafterliste – Sentavia Precision GmbH</w:t>
      </w:r>
    </w:p>
    <w:p>
      <w:pPr>
        <w:jc w:val="center"/>
      </w:pPr>
      <w:r>
        <w:t>Stand: 15. Januar 2024</w:t>
      </w:r>
    </w:p>
    <w:p/>
    <w:p>
      <w:pPr>
        <w:pStyle w:val="Heading3"/>
      </w:pPr>
      <w:r>
        <w:t>1. Hinterlegung</w:t>
      </w:r>
    </w:p>
    <w:p>
      <w:r>
        <w:t>Diese Gesellschafterliste wird gemaess § 40 GmbHG beim Handelsregister des Amtsgerichts Muenchen unter HRB 218934 hinterlegt. Sie ersetzt die zuletzt am 22. Februar 2023 hinterlegte Liste.</w:t>
      </w:r>
    </w:p>
    <w:p>
      <w:pPr>
        <w:pStyle w:val="Heading3"/>
      </w:pPr>
      <w:r>
        <w:t>2. Stammkapital</w:t>
      </w:r>
    </w:p>
    <w:p>
      <w:r>
        <w:t>Das Stammkapital der Gesellschaft betraegt 500.000 EUR, aufgeteilt in 500 Stammanteile zu je 1.000 EUR Nennbetrag. Die Stammeinlagen sind vollstaendig erbracht.</w:t>
      </w:r>
    </w:p>
    <w:p>
      <w:pPr>
        <w:pStyle w:val="Heading3"/>
      </w:pPr>
      <w:r>
        <w:t>3. Gesellschafter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Nr.</w:t>
            </w:r>
          </w:p>
        </w:tc>
        <w:tc>
          <w:tcPr>
            <w:tcW w:type="dxa" w:w="1440"/>
          </w:tcPr>
          <w:p>
            <w:r>
              <w:t>Gesellschafter</w:t>
            </w:r>
          </w:p>
        </w:tc>
        <w:tc>
          <w:tcPr>
            <w:tcW w:type="dxa" w:w="1440"/>
          </w:tcPr>
          <w:p>
            <w:r>
              <w:t>Anschrift</w:t>
            </w:r>
          </w:p>
        </w:tc>
        <w:tc>
          <w:tcPr>
            <w:tcW w:type="dxa" w:w="1440"/>
          </w:tcPr>
          <w:p>
            <w:r>
              <w:t>Anteile (Nr.)</w:t>
            </w:r>
          </w:p>
        </w:tc>
        <w:tc>
          <w:tcPr>
            <w:tcW w:type="dxa" w:w="1440"/>
          </w:tcPr>
          <w:p>
            <w:r>
              <w:t>Nennbetrag EUR</w:t>
            </w:r>
          </w:p>
        </w:tc>
        <w:tc>
          <w:tcPr>
            <w:tcW w:type="dxa" w:w="1440"/>
          </w:tcPr>
          <w:p>
            <w:r>
              <w:t>Anteil %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Sofinnova Partners (Paris)</w:t>
            </w:r>
          </w:p>
        </w:tc>
        <w:tc>
          <w:tcPr>
            <w:tcW w:type="dxa" w:w="1440"/>
          </w:tcPr>
          <w:p>
            <w:r>
              <w:t>7-11 Boulevard Haussmann, 75009 Paris</w:t>
            </w:r>
          </w:p>
        </w:tc>
        <w:tc>
          <w:tcPr>
            <w:tcW w:type="dxa" w:w="1440"/>
          </w:tcPr>
          <w:p>
            <w:r>
              <w:t>1-175</w:t>
            </w:r>
          </w:p>
        </w:tc>
        <w:tc>
          <w:tcPr>
            <w:tcW w:type="dxa" w:w="1440"/>
          </w:tcPr>
          <w:p>
            <w:r>
              <w:t>175.000</w:t>
            </w:r>
          </w:p>
        </w:tc>
        <w:tc>
          <w:tcPr>
            <w:tcW w:type="dxa" w:w="1440"/>
          </w:tcPr>
          <w:p>
            <w:r>
              <w:t>35,0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Lakestar I LP (Zürich)</w:t>
            </w:r>
          </w:p>
        </w:tc>
        <w:tc>
          <w:tcPr>
            <w:tcW w:type="dxa" w:w="1440"/>
          </w:tcPr>
          <w:p>
            <w:r>
              <w:t>Bleicherweg 50, 8002 Zuerich</w:t>
            </w:r>
          </w:p>
        </w:tc>
        <w:tc>
          <w:tcPr>
            <w:tcW w:type="dxa" w:w="1440"/>
          </w:tcPr>
          <w:p>
            <w:r>
              <w:t>176-300</w:t>
            </w:r>
          </w:p>
        </w:tc>
        <w:tc>
          <w:tcPr>
            <w:tcW w:type="dxa" w:w="1440"/>
          </w:tcPr>
          <w:p>
            <w:r>
              <w:t>125.000</w:t>
            </w:r>
          </w:p>
        </w:tc>
        <w:tc>
          <w:tcPr>
            <w:tcW w:type="dxa" w:w="1440"/>
          </w:tcPr>
          <w:p>
            <w:r>
              <w:t>25,0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Management-Beteiligungs-GbR</w:t>
            </w:r>
          </w:p>
        </w:tc>
        <w:tc>
          <w:tcPr>
            <w:tcW w:type="dxa" w:w="1440"/>
          </w:tcPr>
          <w:p>
            <w:r>
              <w:t>Freimannstrasse 45, 80939 Muenchen</w:t>
            </w:r>
          </w:p>
        </w:tc>
        <w:tc>
          <w:tcPr>
            <w:tcW w:type="dxa" w:w="1440"/>
          </w:tcPr>
          <w:p>
            <w:r>
              <w:t>301-375</w:t>
            </w:r>
          </w:p>
        </w:tc>
        <w:tc>
          <w:tcPr>
            <w:tcW w:type="dxa" w:w="1440"/>
          </w:tcPr>
          <w:p>
            <w:r>
              <w:t>75.000</w:t>
            </w:r>
          </w:p>
        </w:tc>
        <w:tc>
          <w:tcPr>
            <w:tcW w:type="dxa" w:w="1440"/>
          </w:tcPr>
          <w:p>
            <w:r>
              <w:t>15,0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High-Tech Gruenderfonds (HTGF)</w:t>
            </w:r>
          </w:p>
        </w:tc>
        <w:tc>
          <w:tcPr>
            <w:tcW w:type="dxa" w:w="1440"/>
          </w:tcPr>
          <w:p>
            <w:r>
              <w:t>Schlegelstrasse 2, 53113 Bonn</w:t>
            </w:r>
          </w:p>
        </w:tc>
        <w:tc>
          <w:tcPr>
            <w:tcW w:type="dxa" w:w="1440"/>
          </w:tcPr>
          <w:p>
            <w:r>
              <w:t>376-425</w:t>
            </w:r>
          </w:p>
        </w:tc>
        <w:tc>
          <w:tcPr>
            <w:tcW w:type="dxa" w:w="1440"/>
          </w:tcPr>
          <w:p>
            <w:r>
              <w:t>50.000</w:t>
            </w:r>
          </w:p>
        </w:tc>
        <w:tc>
          <w:tcPr>
            <w:tcW w:type="dxa" w:w="1440"/>
          </w:tcPr>
          <w:p>
            <w:r>
              <w:t>10,0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Streubesitz (Mitarbeitende, Privatpersonen)</w:t>
            </w:r>
          </w:p>
        </w:tc>
        <w:tc>
          <w:tcPr>
            <w:tcW w:type="dxa" w:w="1440"/>
          </w:tcPr>
          <w:p>
            <w:r>
              <w:t>diverse</w:t>
            </w:r>
          </w:p>
        </w:tc>
        <w:tc>
          <w:tcPr>
            <w:tcW w:type="dxa" w:w="1440"/>
          </w:tcPr>
          <w:p>
            <w:r>
              <w:t>426-500</w:t>
            </w:r>
          </w:p>
        </w:tc>
        <w:tc>
          <w:tcPr>
            <w:tcW w:type="dxa" w:w="1440"/>
          </w:tcPr>
          <w:p>
            <w:r>
              <w:t>75.000</w:t>
            </w:r>
          </w:p>
        </w:tc>
        <w:tc>
          <w:tcPr>
            <w:tcW w:type="dxa" w:w="1440"/>
          </w:tcPr>
          <w:p>
            <w:r>
              <w:t>15,0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SUMME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500 Anteile</w:t>
            </w:r>
          </w:p>
        </w:tc>
        <w:tc>
          <w:tcPr>
            <w:tcW w:type="dxa" w:w="1440"/>
          </w:tcPr>
          <w:p>
            <w:r>
              <w:t>500.000</w:t>
            </w:r>
          </w:p>
        </w:tc>
        <w:tc>
          <w:tcPr>
            <w:tcW w:type="dxa" w:w="1440"/>
          </w:tcPr>
          <w:p>
            <w:r>
              <w:t>100,0</w:t>
            </w:r>
          </w:p>
        </w:tc>
      </w:tr>
    </w:tbl>
    <w:p>
      <w:pPr>
        <w:pStyle w:val="Heading3"/>
      </w:pPr>
      <w:r>
        <w:t>4. Erklaerung</w:t>
      </w:r>
    </w:p>
    <w:p>
      <w:r>
        <w:t>Die unterzeichnende Geschaeftsfuehrung erklaert, dass diese Liste den aktuellen Beteiligungsverhaeltnissen entspricht und alle Veraenderungen gegenueber der zuletzt hinterlegten Liste (insbesondere Anteilsuebertragungen im Rahmen des ESOP 2023) ordnungsgemaess beruecksichtigt wurden.</w:t>
      </w:r>
    </w:p>
    <w:p>
      <w:r>
        <w:t>Muenchen, den 15. Januar 2024.</w:t>
      </w:r>
    </w:p>
    <w:p>
      <w:pPr>
        <w:pStyle w:val="Heading3"/>
      </w:pPr>
      <w:r>
        <w:t>Unterschriften</w:t>
      </w:r>
    </w:p>
    <w:p>
      <w:r>
        <w:t>Ort, Datum: Muenchen, den 15. Januar 2024</w:t>
      </w:r>
    </w:p>
    <w:p>
      <w:r>
        <w:t>_________________________            _________________________</w:t>
        <w:br/>
        <w:t>Dr. Katharina Berger                          Thomas Mueller</w:t>
        <w:br/>
        <w:t>CEO                          CFO</w:t>
        <w:br/>
        <w:t>Sentavia Precision GmbH                       Sentavia Precision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