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Gesellschaftsvertrag</w:t>
      </w:r>
    </w:p>
    <w:p>
      <w:pPr>
        <w:jc w:val="center"/>
      </w:pPr>
      <w:r>
        <w:t>in der Fassung vom 15. März 2020</w:t>
      </w:r>
    </w:p>
    <w:p/>
    <w:p>
      <w:r>
        <w:t>Der vorliegende Gesellschaftsvertrag der Sentavia Precision GmbH wurde zuletzt durch Beschluss der Gesellschafterversammlung vom 15. März 2020 in der nachfolgenden Fassung neu gefasst. Er tritt an die Stelle aller vorherigen Fassungen des Gesellschaftsvertrags.</w:t>
      </w:r>
    </w:p>
    <w:p>
      <w:pPr>
        <w:pStyle w:val="Heading3"/>
      </w:pPr>
      <w:r>
        <w:t>§ 1 Firma und Sitz der Gesellschaft</w:t>
      </w:r>
    </w:p>
    <w:p>
      <w:r>
        <w:rPr>
          <w:b/>
        </w:rPr>
        <w:t xml:space="preserve">(1) </w:t>
      </w:r>
      <w:r>
        <w:t>Die Gesellschaft führt die Firma Sentavia Precision GmbH.</w:t>
      </w:r>
    </w:p>
    <w:p>
      <w:r>
        <w:rPr>
          <w:b/>
        </w:rPr>
        <w:t xml:space="preserve">(2) </w:t>
      </w:r>
      <w:r>
        <w:t>Der Sitz der Gesellschaft ist München.</w:t>
      </w:r>
    </w:p>
    <w:p>
      <w:r>
        <w:rPr>
          <w:b/>
        </w:rPr>
        <w:t xml:space="preserve">(3) </w:t>
      </w:r>
      <w:r>
        <w:t>Die Gesellschaft ist im Handelsregister des Amtsgericht München unter der Nummer HRB 218934 eingetragen.</w:t>
      </w:r>
    </w:p>
    <w:p>
      <w:pPr>
        <w:pStyle w:val="Heading3"/>
      </w:pPr>
      <w:r>
        <w:t>§ 2 Gegenstand des Unternehmens</w:t>
      </w:r>
    </w:p>
    <w:p>
      <w:r>
        <w:rPr>
          <w:b/>
        </w:rPr>
        <w:t xml:space="preserve">(1) </w:t>
      </w:r>
      <w:r>
        <w:t>Gegenstand des Unternehmens ist die Entwicklung, Herstellung, der Vertrieb und die Vermarktung von Medizinprodukten und In-vitro-Diagnostika, insbesondere von Systemen zur kardiologischen Diagnostik, orthopädischen Navigation und diagnostischen Schnelltests, sowie verwandter Software, Dienstleistungen und Zubehör.</w:t>
      </w:r>
    </w:p>
    <w:p>
      <w:r>
        <w:rPr>
          <w:b/>
        </w:rPr>
        <w:t xml:space="preserve">(2) </w:t>
      </w:r>
      <w:r>
        <w:t>Die Gesellschaft ist berechtigt, alle Geschäfte zu betreiben, die geeignet sind, den Gesellschaftszweck unmittelbar oder mittelbar zu fördern, einschließlich des Erwerbs und der Verwaltung von Beteiligungen an anderen Unternehmen.</w:t>
      </w:r>
    </w:p>
    <w:p>
      <w:r>
        <w:rPr>
          <w:b/>
        </w:rPr>
        <w:t xml:space="preserve">(3) </w:t>
      </w:r>
      <w:r>
        <w:t>Die Gesellschaft kann Zweigniederlassungen im In- und Ausland errichten sowie Tochtergesellschaften gründen oder sich an solchen beteiligen.</w:t>
      </w:r>
    </w:p>
    <w:p>
      <w:pPr>
        <w:pStyle w:val="Heading3"/>
      </w:pPr>
      <w:r>
        <w:t>§ 3 Stammkapital und Geschäftsanteile</w:t>
      </w:r>
    </w:p>
    <w:p>
      <w:r>
        <w:rPr>
          <w:b/>
        </w:rPr>
        <w:t xml:space="preserve">(1) </w:t>
      </w:r>
      <w:r>
        <w:t>Das Stammkapital der Gesellschaft beträgt 500.000 EUR (in Worten: Fünfhunderttausend Euro).</w:t>
      </w:r>
    </w:p>
    <w:p>
      <w:r>
        <w:rPr>
          <w:b/>
        </w:rPr>
        <w:t xml:space="preserve">(2) </w:t>
      </w:r>
      <w:r>
        <w:t>Das Stammkapital ist in Geschäftsanteile eingeteilt. Die Gesellschafter halten die folgenden Geschäftsanteile: Sofinnova Partners (Paris): 35 % (laufende Nummern 1–3.500); Lakestar (Zürich): 25 % (laufende Nummern 3.501–6.000); Management-Beteiligungs-GbR: 15 % (laufende Nummern 6.001–7.500); HTGF (High-Tech Gründerfonds): 10 % (laufende Nummern 7.501–8.500); Weiterer Streubesitz: 15 % (laufende Nummern 8.501–10.000).</w:t>
      </w:r>
    </w:p>
    <w:p>
      <w:r>
        <w:rPr>
          <w:b/>
        </w:rPr>
        <w:t xml:space="preserve">(3) </w:t>
      </w:r>
      <w:r>
        <w:t>Jeder Gesellschafter ist verpflichtet, seinen Geschäftsanteil vollständig einzuzahlen. Die Einlagen sind in bar oder durch Sacheinlage zu erbringen, sofern die Gesellschafterversammlung dies genehmigt hat.</w:t>
      </w:r>
    </w:p>
    <w:p>
      <w:pPr>
        <w:pStyle w:val="Heading3"/>
      </w:pPr>
      <w:r>
        <w:t>§ 4 Geschäftsführung</w:t>
      </w:r>
    </w:p>
    <w:p>
      <w:r>
        <w:rPr>
          <w:b/>
        </w:rPr>
        <w:t xml:space="preserve">(1) </w:t>
      </w:r>
      <w:r>
        <w:t>Die Gesellschaft hat einen oder mehrere Geschäftsführer. Die Bestellung und Abberufung der Geschäftsführer erfolgt durch Beschluss der Gesellschafterversammlung mit einfacher Mehrheit der abgegebenen Stimmen.</w:t>
      </w:r>
    </w:p>
    <w:p>
      <w:r>
        <w:rPr>
          <w:b/>
        </w:rPr>
        <w:t xml:space="preserve">(2) </w:t>
      </w:r>
      <w:r>
        <w:t>Zum alleinvertretungsberechtigten Geschäftsführer ist bestellt: Dr. Katharina Berger (CEO). Weitere Geschäftsführer sind: Dr. Marcus Vogt (CTO), Thomas Müller (CFO).</w:t>
      </w:r>
    </w:p>
    <w:p>
      <w:r>
        <w:rPr>
          <w:b/>
        </w:rPr>
        <w:t xml:space="preserve">(3) </w:t>
      </w:r>
      <w:r>
        <w:t>Die Geschäftsführer sind von den Beschränkungen des § 181 BGB befreit, soweit die Gesellschafterversammlung dies mit Dreiviertelmehrheit beschlossen hat. Dies gilt insbesondere für die Vornahme von Rechtsgeschäften zwischen der Gesellschaft und Gesellschaften, an denen ein Geschäftsführer beteiligt ist.</w:t>
      </w:r>
    </w:p>
    <w:p>
      <w:r>
        <w:rPr>
          <w:b/>
        </w:rPr>
        <w:t xml:space="preserve">(4) </w:t>
      </w:r>
      <w:r>
        <w:t>Für Rechtsgeschäfte, die im Rahmen des gewöhnlichen Geschäftsbetriebs liegen und den Betrag von EUR 500.000 nicht überschreiten, ist jeder Geschäftsführer alleinvertretungsberechtigt. Für darüber hinausgehende Geschäfte bedarf es der vorherigen Zustimmung der Gesellschafterversammlung.</w:t>
      </w:r>
    </w:p>
    <w:p>
      <w:pPr>
        <w:pStyle w:val="Heading3"/>
      </w:pPr>
      <w:r>
        <w:t>§ 5 Gesellschafterversammlung</w:t>
      </w:r>
    </w:p>
    <w:p>
      <w:r>
        <w:rPr>
          <w:b/>
        </w:rPr>
        <w:t xml:space="preserve">(1) </w:t>
      </w:r>
      <w:r>
        <w:t>Die ordentliche Gesellschafterversammlung findet einmal jährlich innerhalb der ersten sechs Monate des Geschäftsjahres statt. Außerordentliche Gesellschafterversammlungen sind einzuberufen, wenn es das Interesse der Gesellschaft erfordert oder wenn Gesellschafter, die zusammen mindestens 10 % des Stammkapitals halten, dies verlangen.</w:t>
      </w:r>
    </w:p>
    <w:p>
      <w:r>
        <w:rPr>
          <w:b/>
        </w:rPr>
        <w:t xml:space="preserve">(2) </w:t>
      </w:r>
      <w:r>
        <w:t>Die Einberufung der Gesellschafterversammlung erfolgt durch die Geschäftsführung schriftlich oder per E-Mail mit einer Frist von mindestens 14 Tagen. Die Einberufung muss Ort, Zeit und Tagesordnung der Versammlung enthalten. In dringenden Fällen kann die Frist auf 7 Tage verkürzt werden.</w:t>
      </w:r>
    </w:p>
    <w:p>
      <w:r>
        <w:rPr>
          <w:b/>
        </w:rPr>
        <w:t xml:space="preserve">(3) </w:t>
      </w:r>
      <w:r>
        <w:t>Beschlüsse der Gesellschafterversammlung werden mit einfacher Mehrheit der abgegebenen Stimmen gefasst, soweit Gesetz oder dieser Gesellschaftsvertrag keine andere Mehrheit vorschreiben. Je EUR 1,00 des Stammkapitals gewährt eine Stimme. Stimmenthaltungen gelten als nicht abgegebene Stimmen.</w:t>
      </w:r>
    </w:p>
    <w:p>
      <w:r>
        <w:rPr>
          <w:b/>
        </w:rPr>
        <w:t xml:space="preserve">(4) </w:t>
      </w:r>
      <w:r>
        <w:t>Folgende Maßnahmen bedürfen der Zustimmung von mindestens 75 % der abgegebenen Stimmen: (a) Änderungen des Gesellschaftsvertrags; (b) Erhöhung oder Herabsetzung des Stammkapitals; (c) Auflösung der Gesellschaft; (d) Abschluss von Unternehmensverträgen; (e) Erwerb, Veräußerung oder Belastung von Grundstücken über EUR 2.000.000.</w:t>
      </w:r>
    </w:p>
    <w:p>
      <w:pPr>
        <w:pStyle w:val="Heading3"/>
      </w:pPr>
      <w:r>
        <w:t>§ 6 Beirat</w:t>
      </w:r>
    </w:p>
    <w:p>
      <w:r>
        <w:rPr>
          <w:b/>
        </w:rPr>
        <w:t xml:space="preserve">(1) </w:t>
      </w:r>
      <w:r>
        <w:t>Die Gesellschaft kann einen Beirat einrichten. Der Beirat besteht aus drei bis fünf Mitgliedern, die von der Gesellschafterversammlung bestellt werden.</w:t>
      </w:r>
    </w:p>
    <w:p>
      <w:r>
        <w:rPr>
          <w:b/>
        </w:rPr>
        <w:t xml:space="preserve">(2) </w:t>
      </w:r>
      <w:r>
        <w:t>Der Beirat berät und unterstützt die Geschäftsführung in strategischen Fragen. Er hat keine Weisungsbefugnis gegenüber der Geschäftsführung, soweit nicht im Einzelfall eine solche Befugnis ausdrücklich vereinbart ist.</w:t>
      </w:r>
    </w:p>
    <w:p>
      <w:r>
        <w:rPr>
          <w:b/>
        </w:rPr>
        <w:t xml:space="preserve">(3) </w:t>
      </w:r>
      <w:r>
        <w:t>Die Mitglieder des Beirats erhalten eine angemessene Vergütung sowie Aufwandsentschädigung, die von der Gesellschafterversammlung festgesetzt wird.</w:t>
      </w:r>
    </w:p>
    <w:p>
      <w:pPr>
        <w:pStyle w:val="Heading3"/>
      </w:pPr>
      <w:r>
        <w:t>§ 7 Gewinnverwendung</w:t>
      </w:r>
    </w:p>
    <w:p>
      <w:r>
        <w:rPr>
          <w:b/>
        </w:rPr>
        <w:t xml:space="preserve">(1) </w:t>
      </w:r>
      <w:r>
        <w:t>Der Jahresüberschuss, vermindert um einen etwaigen Verlustvortrag und um die in die gesetzliche Rücklage einzustellenden Beträge, steht zur Verfügung der Gesellschafterversammlung.</w:t>
      </w:r>
    </w:p>
    <w:p>
      <w:r>
        <w:rPr>
          <w:b/>
        </w:rPr>
        <w:t xml:space="preserve">(2) </w:t>
      </w:r>
      <w:r>
        <w:t>Die Gesellschafterversammlung beschließt über die Verwendung des Bilanzgewinns, insbesondere über die Ausschüttung an die Gesellschafter. Ausschüttungen erfolgen im Verhältnis der Geschäftsanteile, sofern die Gesellschafterversammlung keine abweichende Regelung beschließt.</w:t>
      </w:r>
    </w:p>
    <w:p>
      <w:r>
        <w:rPr>
          <w:b/>
        </w:rPr>
        <w:t xml:space="preserve">(3) </w:t>
      </w:r>
      <w:r>
        <w:t>Vorabausschüttungen im Laufe des Geschäftsjahres sind zulässig, wenn und soweit die Liquidität der Gesellschaft dies erlaubt und die Geschäftsführung dem zustimmt.</w:t>
      </w:r>
    </w:p>
    <w:p>
      <w:pPr>
        <w:pStyle w:val="Heading3"/>
      </w:pPr>
      <w:r>
        <w:t>§ 8 Informations- und Kontrollrechte</w:t>
      </w:r>
    </w:p>
    <w:p>
      <w:r>
        <w:rPr>
          <w:b/>
        </w:rPr>
        <w:t xml:space="preserve">(1) </w:t>
      </w:r>
      <w:r>
        <w:t>Jeder Gesellschafter hat das Recht, von der Geschäftsführung Auskunft über die Angelegenheiten der Gesellschaft zu verlangen und die Bücher und Schriften der Gesellschaft einzusehen.</w:t>
      </w:r>
    </w:p>
    <w:p>
      <w:r>
        <w:rPr>
          <w:b/>
        </w:rPr>
        <w:t xml:space="preserve">(2) </w:t>
      </w:r>
      <w:r>
        <w:t>Die Geschäftsführung ist verpflichtet, den Gesellschaftern quartalsweise schriftlich über den Gang der Geschäfte zu berichten (Quartalsreport). Darüber hinaus sind Gesellschafter, die mindestens 10 % des Stammkapitals halten, berechtigt, jederzeit Einsicht in die Bücher zu nehmen.</w:t>
      </w:r>
    </w:p>
    <w:p>
      <w:pPr>
        <w:pStyle w:val="Heading3"/>
      </w:pPr>
      <w:r>
        <w:t>§ 9 Verfügungen über Geschäftsanteile</w:t>
      </w:r>
    </w:p>
    <w:p>
      <w:r>
        <w:rPr>
          <w:b/>
        </w:rPr>
        <w:t xml:space="preserve">(1) </w:t>
      </w:r>
      <w:r>
        <w:t>Die Übertragung von Geschäftsanteilen sowie die Begründung von Pfandrechten oder sonstigen Belastungen bedürfen der vorherigen Zustimmung der Gesellschafterversammlung. Die Zustimmung ist mit einer Mehrheit von 75 % der Stimmen aller Gesellschafter zu erteilen.</w:t>
      </w:r>
    </w:p>
    <w:p>
      <w:r>
        <w:rPr>
          <w:b/>
        </w:rPr>
        <w:t xml:space="preserve">(2) </w:t>
      </w:r>
      <w:r>
        <w:t>Den Gesellschaftern steht bei beabsichtigter Veräußerung eines Geschäftsanteils ein Vorkaufsrecht im Verhältnis ihrer bestehenden Beteiligungen zu. Das Vorkaufsrecht ist innerhalb von 30 Tagen nach Mitteilung der beabsichtigten Veräußerung auszuüben.</w:t>
      </w:r>
    </w:p>
    <w:p>
      <w:r>
        <w:rPr>
          <w:b/>
        </w:rPr>
        <w:t xml:space="preserve">(3) </w:t>
      </w:r>
      <w:r>
        <w:t>Drag-Along-Recht: Sofern Gesellschafter, die zusammen mindestens 75 % der Geschäftsanteile halten, die Gesamtheit der Geschäftsanteile an einen Dritten veräußern möchten, sind die übrigen Gesellschafter verpflichtet, ihre Geschäftsanteile zu gleichen Bedingungen auf den Dritten zu übertragen.</w:t>
      </w:r>
    </w:p>
    <w:p>
      <w:r>
        <w:rPr>
          <w:b/>
        </w:rPr>
        <w:t xml:space="preserve">(4) </w:t>
      </w:r>
      <w:r>
        <w:t>Tag-Along-Recht: Wenn Gesellschafter, die zusammen mehr als 50 % der Geschäftsanteile halten, ihre Anteile an einen Dritten veräußern, haben die übrigen Gesellschafter das Recht, ihre Anteile zu gleichen Konditionen ebenfalls zu veräußern (Mitveräußerungsrecht).</w:t>
      </w:r>
    </w:p>
    <w:p>
      <w:pPr>
        <w:pStyle w:val="Heading3"/>
      </w:pPr>
      <w:r>
        <w:t>§ 10 Wettbewerbsverbot</w:t>
      </w:r>
    </w:p>
    <w:p>
      <w:r>
        <w:rPr>
          <w:b/>
        </w:rPr>
        <w:t xml:space="preserve">(1) </w:t>
      </w:r>
      <w:r>
        <w:t>Die Geschäftsführer und Gesellschafter, die mehr als 25 % der Geschäftsanteile halten, sind während der Dauer ihrer Stellung bzw. Beteiligung verpflichtet, der Gesellschaft keine Konkurrenz zu machen. Sie dürfen weder unmittelbar noch mittelbar Unternehmen betreiben oder sich an solchen beteiligen, die mit der Gesellschaft in Wettbewerb stehen.</w:t>
      </w:r>
    </w:p>
    <w:p>
      <w:r>
        <w:rPr>
          <w:b/>
        </w:rPr>
        <w:t xml:space="preserve">(2) </w:t>
      </w:r>
      <w:r>
        <w:t>Das Wettbewerbsverbot gilt für die Dauer von 2 Jahren nach Beendigung der Tätigkeit als Geschäftsführer bzw. nach Veräußerung der Beteiligung und erstreckt sich auf das Bundesgebiet sowie alle Länder, in denen die Gesellschaft zum Zeitpunkt des Ausscheidens tätig ist.</w:t>
      </w:r>
    </w:p>
    <w:p>
      <w:pPr>
        <w:pStyle w:val="Heading3"/>
      </w:pPr>
      <w:r>
        <w:t>§ 11 Auflösung und Liquidation</w:t>
      </w:r>
    </w:p>
    <w:p>
      <w:r>
        <w:rPr>
          <w:b/>
        </w:rPr>
        <w:t xml:space="preserve">(1) </w:t>
      </w:r>
      <w:r>
        <w:t>Die Gesellschaft wird aufgelöst durch: (a) Beschluss der Gesellschafterversammlung mit einer Mehrheit von 75 % des Stammkapitals; (b) Eröffnung des Insolvenzverfahrens über das Vermögen der Gesellschaft; (c) rechtskräftige gerichtliche Entscheidung.</w:t>
      </w:r>
    </w:p>
    <w:p>
      <w:r>
        <w:rPr>
          <w:b/>
        </w:rPr>
        <w:t xml:space="preserve">(2) </w:t>
      </w:r>
      <w:r>
        <w:t>Die Liquidation erfolgt durch die Geschäftsführer, sofern die Gesellschafterversammlung keine anderen Liquidatoren bestellt. Die Liquidatoren vertreten die Gesellschaft gemeinschaftlich.</w:t>
      </w:r>
    </w:p>
    <w:p>
      <w:r>
        <w:rPr>
          <w:b/>
        </w:rPr>
        <w:t xml:space="preserve">(3) </w:t>
      </w:r>
      <w:r>
        <w:t>Nach Begleichung aller Verbindlichkeiten und nach Ablauf der Sperrjahre ist das verbleibende Gesellschaftsvermögen im Verhältnis der Geschäftsanteile an die Gesellschafter zu verteilen.</w:t>
      </w:r>
    </w:p>
    <w:p>
      <w:pPr>
        <w:pStyle w:val="Heading3"/>
      </w:pPr>
      <w:r>
        <w:t>§ 12 Salvatorische Klausel und Schlussbestimmungen</w:t>
      </w:r>
    </w:p>
    <w:p>
      <w:r>
        <w:rPr>
          <w:b/>
        </w:rPr>
        <w:t xml:space="preserve">(1) </w:t>
      </w:r>
      <w:r>
        <w:t>Sollten einzelne Bestimmungen dieses Gesellschaftsvertrags unwirksam oder undurchführbar sein oder werden oder sollte der Gesellschaftsvertrag eine Lücke enthalten, so berührt dies die Wirksamkeit der übrigen Bestimmungen nicht.</w:t>
      </w:r>
    </w:p>
    <w:p>
      <w:r>
        <w:rPr>
          <w:b/>
        </w:rPr>
        <w:t xml:space="preserve">(2) </w:t>
      </w:r>
      <w:r>
        <w:t>Änderungen und Ergänzungen dieses Gesellschaftsvertrags bedürfen der notariellen Beurkundung und der Eintragung in das Handelsregister.</w:t>
      </w:r>
    </w:p>
    <w:p>
      <w:r>
        <w:rPr>
          <w:b/>
        </w:rPr>
        <w:t xml:space="preserve">(3) </w:t>
      </w:r>
      <w:r>
        <w:t>Gerichtsstand ist München. Es gilt ausschließlich deutsches Recht.</w:t>
      </w:r>
    </w:p>
    <w:p>
      <w:r>
        <w:rPr>
          <w:b/>
        </w:rPr>
        <w:t xml:space="preserve">(4) </w:t>
      </w:r>
      <w:r>
        <w:t>Dieser Gesellschaftsvertrag wurde am 15. März 2020 notariell beurkundet durch Notar Dr. Wolfgang Reichelt, Notariat München, Urkundenrolle Nr. 2020/456.</w:t>
      </w:r>
    </w:p>
    <w:p>
      <w:pPr>
        <w:pStyle w:val="Heading3"/>
      </w:pPr>
      <w:r>
        <w:t>Unterschriften</w:t>
      </w:r>
    </w:p>
    <w:p>
      <w:r>
        <w:br/>
        <w:br/>
        <w:t>München, den 15. März 2020</w:t>
        <w:br/>
        <w:br/>
      </w:r>
    </w:p>
    <w:p>
      <w:r>
        <w:t>_________________________</w:t>
        <w:tab/>
        <w:tab/>
        <w:t>_________________________</w:t>
      </w:r>
    </w:p>
    <w:p>
      <w:r>
        <w:t>Sofinnova Partners (Paris)</w:t>
        <w:tab/>
        <w:tab/>
        <w:t>Lakestar (Zürich)</w:t>
      </w:r>
    </w:p>
    <w:p>
      <w:r>
        <w:br/>
        <w:t>_________________________</w:t>
        <w:tab/>
        <w:tab/>
        <w:t>_________________________</w:t>
      </w:r>
    </w:p>
    <w:p>
      <w:r>
        <w:t>Management-Beteiligungs-GbR</w:t>
        <w:tab/>
        <w:tab/>
        <w:t>HTGF (High-Tech Gründerfonds)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