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Investor Rights Agreement</w:t>
      </w:r>
    </w:p>
    <w:p>
      <w:pPr>
        <w:jc w:val="center"/>
      </w:pPr>
      <w:r>
        <w:t>Sentavia Precision GmbH</w:t>
      </w:r>
    </w:p>
    <w:p/>
    <w:p>
      <w:pPr>
        <w:pStyle w:val="Heading3"/>
      </w:pPr>
      <w:r>
        <w:t>§ 1 Information Rights</w:t>
      </w:r>
    </w:p>
    <w:p>
      <w:r>
        <w:rPr>
          <w:b/>
        </w:rPr>
        <w:t xml:space="preserve">(1) </w:t>
      </w:r>
      <w:r>
        <w:t>Each Investor holding at least 5% of the outstanding shares of Sentavia Precision GmbH (each, a "Major Investor") shall have the right to receive from the Company: (a) as soon as practicable after the end of each fiscal year, and in any event within ninety (90) days thereof, an audited balance sheet and statements of income and cash flows for such fiscal year; (b) as soon as practicable after the end of each calendar quarter, but in any event within thirty (30) days thereafter, an unaudited income statement and balance sheet as of the end of such quarter.</w:t>
      </w:r>
    </w:p>
    <w:p>
      <w:r>
        <w:rPr>
          <w:b/>
        </w:rPr>
        <w:t xml:space="preserve">(2) </w:t>
      </w:r>
      <w:r>
        <w:t>The Company shall also provide each Major Investor with an annual budget no later than 30 days before the beginning of each fiscal year, and with any material revisions to such budget within 5 business days of adoption.</w:t>
      </w:r>
    </w:p>
    <w:p>
      <w:pPr>
        <w:pStyle w:val="Heading3"/>
      </w:pPr>
      <w:r>
        <w:t>§ 2 Registration Rights</w:t>
      </w:r>
    </w:p>
    <w:p>
      <w:r>
        <w:rPr>
          <w:b/>
        </w:rPr>
        <w:t xml:space="preserve">(1) </w:t>
      </w:r>
      <w:r>
        <w:t>In the event of an IPO of the Company, each Major Investor shall have the right to participate in such offering with respect to a pro rata share of the shares to be offered.</w:t>
      </w:r>
    </w:p>
    <w:p>
      <w:r>
        <w:rPr>
          <w:b/>
        </w:rPr>
        <w:t xml:space="preserve">(2) </w:t>
      </w:r>
      <w:r>
        <w:t>Demand Registration Rights: At any time following the date that is 180 days after the effective date of the IPO, holders of at least 30% of the Registrable Securities may request that the Company file a registration statement covering the resale of their Registrable Securities.</w:t>
      </w:r>
    </w:p>
    <w:p>
      <w:pPr>
        <w:pStyle w:val="Heading3"/>
      </w:pPr>
      <w:r>
        <w:t>§ 3 Right of First Refusal and Co-Sale Agreement</w:t>
      </w:r>
    </w:p>
    <w:p>
      <w:r>
        <w:rPr>
          <w:b/>
        </w:rPr>
        <w:t xml:space="preserve">(1) </w:t>
      </w:r>
      <w:r>
        <w:t>The Company and each of the Key Holders grants to the Investors a right of first refusal with respect to any proposed transfer of Company securities held by the Key Holders, other than Exempt Transfers.</w:t>
      </w:r>
    </w:p>
    <w:p>
      <w:r>
        <w:rPr>
          <w:b/>
        </w:rPr>
        <w:t xml:space="preserve">(2) </w:t>
      </w:r>
      <w:r>
        <w:t>Co-Sale Right: If any Key Holder proposes to transfer Company securities to a third party and the right of first refusal described in Section 3.1 is not exercised in full, each Investor shall have the right to participate in such transfer.</w:t>
      </w:r>
    </w:p>
    <w:p>
      <w:pPr>
        <w:pStyle w:val="Heading3"/>
      </w:pPr>
      <w:r>
        <w:t>§ 4 Protective Provisions</w:t>
      </w:r>
    </w:p>
    <w:p>
      <w:r>
        <w:rPr>
          <w:b/>
        </w:rPr>
        <w:t xml:space="preserve">(1) </w:t>
      </w:r>
      <w:r>
        <w:t>The Company shall not, without the approval of at least 67% of the then outstanding Preferred Shares: (a) alter or change the rights, preferences, or privileges of the Preferred Shares; (b) create any new class or series of shares having rights, preferences, or privileges senior to or on a parity with the Preferred Shares; (c) authorize or effect any merger, acquisition, or change of control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