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Shareholders' Agreement</w:t>
      </w:r>
    </w:p>
    <w:p>
      <w:pPr>
        <w:jc w:val="center"/>
      </w:pPr>
      <w:r>
        <w:t>Sentavia Precision GmbH</w:t>
      </w:r>
    </w:p>
    <w:p/>
    <w:p>
      <w:r>
        <w:t>This Shareholders' Agreement ("Agreement") is entered into as of January 10, 2020, by and among the shareholders of Sentavia Precision GmbH ("Company"), a limited liability company (Gesellschaft mit beschränkter Haftung) incorporated under the laws of Germany, registered with the Amtsgericht München under registration number HRB 218934, with registered office at Freimannstraße 45, 80939 München.</w:t>
        <w:br/>
        <w:br/>
        <w:t>The parties to this Agreement are:</w:t>
        <w:br/>
        <w:t>(1) Sofinnova Partners (Paris), a société en commandite par actions incorporated under French law ("Sofinnova");</w:t>
        <w:br/>
        <w:t>(2) Lakestar (Zürich), a private limited company incorporated under Swiss law ("Lakestar");</w:t>
        <w:br/>
        <w:t>(3) Management-Beteiligungs-GbR, a civil law partnership (Gesellschaft bürgerlichen Rechts) under German law ("Management GbR");</w:t>
        <w:br/>
        <w:t>(4) HTGF (High-Tech Gründerfonds), a public limited fund under German law ("HTGF").</w:t>
        <w:br/>
        <w:br/>
        <w:t>WHEREAS, the parties hereto are shareholders of the Company and desire to set forth certain agreements regarding the governance, management, and transfer of shares in the Company.</w:t>
      </w:r>
    </w:p>
    <w:p>
      <w:pPr>
        <w:pStyle w:val="Heading3"/>
      </w:pPr>
      <w:r>
        <w:t>§ 1 Definitions</w:t>
      </w:r>
    </w:p>
    <w:p>
      <w:r>
        <w:rPr>
          <w:b/>
        </w:rPr>
        <w:t xml:space="preserve">(1) </w:t>
      </w:r>
      <w:r>
        <w:t>"Shares" means the shares (Geschäftsanteile) in the Company as registered in the commercial register.</w:t>
      </w:r>
    </w:p>
    <w:p>
      <w:r>
        <w:rPr>
          <w:b/>
        </w:rPr>
        <w:t xml:space="preserve">(2) </w:t>
      </w:r>
      <w:r>
        <w:t>"Exit Event" means an IPO, a Trade Sale, or a Secondary Sale involving more than 50% of the Shares.</w:t>
      </w:r>
    </w:p>
    <w:p>
      <w:r>
        <w:rPr>
          <w:b/>
        </w:rPr>
        <w:t xml:space="preserve">(3) </w:t>
      </w:r>
      <w:r>
        <w:t>"Investor Director" means a member of the Advisory Board nominated by an Investor pursuant to Section 4.</w:t>
      </w:r>
    </w:p>
    <w:p>
      <w:pPr>
        <w:pStyle w:val="Heading3"/>
      </w:pPr>
      <w:r>
        <w:t>§ 2 Business Plan and Budget</w:t>
      </w:r>
    </w:p>
    <w:p>
      <w:r>
        <w:rPr>
          <w:b/>
        </w:rPr>
        <w:t xml:space="preserve">(1) </w:t>
      </w:r>
      <w:r>
        <w:t>The Company shall operate in accordance with an annual business plan and budget approved by the Shareholders' Meeting. The Geschäftsführung shall prepare and submit a proposed business plan and budget to the Shareholders' Meeting for approval no later than 30 November of each year.</w:t>
      </w:r>
    </w:p>
    <w:p>
      <w:r>
        <w:rPr>
          <w:b/>
        </w:rPr>
        <w:t xml:space="preserve">(2) </w:t>
      </w:r>
      <w:r>
        <w:t>Material deviations from the approved business plan in excess of 15% of planned revenues or EBITDA shall require prior approval of a Shareholders' Meeting.</w:t>
      </w:r>
    </w:p>
    <w:p>
      <w:pPr>
        <w:pStyle w:val="Heading3"/>
      </w:pPr>
      <w:r>
        <w:t>§ 3 Reporting</w:t>
      </w:r>
    </w:p>
    <w:p>
      <w:r>
        <w:rPr>
          <w:b/>
        </w:rPr>
        <w:t xml:space="preserve">(1) </w:t>
      </w:r>
      <w:r>
        <w:t>The Company shall provide each Investor holding more than 10% of the Shares with: (i) monthly management accounts within 20 business days of month-end; (ii) quarterly investor reports within 30 days of quarter-end; (iii) audited annual financial statements within 90 days of year-end.</w:t>
      </w:r>
    </w:p>
    <w:p>
      <w:r>
        <w:rPr>
          <w:b/>
        </w:rPr>
        <w:t xml:space="preserve">(2) </w:t>
      </w:r>
      <w:r>
        <w:t>The Geschäftsführung shall hold quarterly investor calls with all Investors at which the performance of the Company against its business plan shall be discussed.</w:t>
      </w:r>
    </w:p>
    <w:p>
      <w:pPr>
        <w:pStyle w:val="Heading3"/>
      </w:pPr>
      <w:r>
        <w:t>§ 4 Advisory Board</w:t>
      </w:r>
    </w:p>
    <w:p>
      <w:r>
        <w:rPr>
          <w:b/>
        </w:rPr>
        <w:t xml:space="preserve">(1) </w:t>
      </w:r>
      <w:r>
        <w:t>An Advisory Board shall be established comprising up to five members. Sofinnova shall be entitled to nominate two members; Lakestar shall be entitled to nominate one member; the Management GbR shall be entitled to nominate one member; HTGF shall be entitled to nominate one member.</w:t>
      </w:r>
    </w:p>
    <w:p>
      <w:r>
        <w:rPr>
          <w:b/>
        </w:rPr>
        <w:t xml:space="preserve">(2) </w:t>
      </w:r>
      <w:r>
        <w:t>The Advisory Board shall meet at least quarterly and shall advise the Geschäftsführung on strategic matters. The Advisory Board shall not have any binding authority over the Geschäftsführung except as expressly set forth in this Agreement.</w:t>
      </w:r>
    </w:p>
    <w:p>
      <w:pPr>
        <w:pStyle w:val="Heading3"/>
      </w:pPr>
      <w:r>
        <w:t>§ 5 Pre-emption Rights</w:t>
      </w:r>
    </w:p>
    <w:p>
      <w:r>
        <w:rPr>
          <w:b/>
        </w:rPr>
        <w:t xml:space="preserve">(1) </w:t>
      </w:r>
      <w:r>
        <w:t>If any Shareholder ("Selling Shareholder") wishes to transfer any of its Shares to a third party, it shall first offer such Shares to the other Shareholders pro rata to their respective shareholdings at the same price and on the same terms as those offered by the third party.</w:t>
      </w:r>
    </w:p>
    <w:p>
      <w:r>
        <w:rPr>
          <w:b/>
        </w:rPr>
        <w:t xml:space="preserve">(2) </w:t>
      </w:r>
      <w:r>
        <w:t>The pre-emption right must be exercised within 30 business days of receipt of the transfer notice. If the pre-emption right is not exercised in full, the Selling Shareholder may transfer the Shares to the third party on terms no more favorable than those offered to the other Shareholders.</w:t>
      </w:r>
    </w:p>
    <w:p>
      <w:pPr>
        <w:pStyle w:val="Heading3"/>
      </w:pPr>
      <w:r>
        <w:t>§ 6 Tag-Along and Drag-Along</w:t>
      </w:r>
    </w:p>
    <w:p>
      <w:r>
        <w:rPr>
          <w:b/>
        </w:rPr>
        <w:t xml:space="preserve">(1) </w:t>
      </w:r>
      <w:r>
        <w:t>Tag-Along: If any Shareholder(s) holding more than 50% of the Shares propose to sell their Shares to a third party, each other Shareholder shall have the right to sell its pro rata share of such Shares to such third party at the same price and on the same terms.</w:t>
      </w:r>
    </w:p>
    <w:p>
      <w:r>
        <w:rPr>
          <w:b/>
        </w:rPr>
        <w:t xml:space="preserve">(2) </w:t>
      </w:r>
      <w:r>
        <w:t>Drag-Along: If Shareholders holding at least 75% of the Shares approve a sale of all Shares to a third party, the remaining Shareholders shall be required to sell their Shares on the same terms.</w:t>
      </w:r>
    </w:p>
    <w:p>
      <w:pPr>
        <w:pStyle w:val="Heading3"/>
      </w:pPr>
      <w:r>
        <w:t>§ 7 Anti-Dilution</w:t>
      </w:r>
    </w:p>
    <w:p>
      <w:r>
        <w:rPr>
          <w:b/>
        </w:rPr>
        <w:t xml:space="preserve">(1) </w:t>
      </w:r>
      <w:r>
        <w:t>In case of a down-round financing, Investors holding Preferred Shares shall benefit from broad-based weighted-average anti-dilution protection as set out in Schedule 1 to this Agreement.</w:t>
      </w:r>
    </w:p>
    <w:p>
      <w:pPr>
        <w:pStyle w:val="Heading3"/>
      </w:pPr>
      <w:r>
        <w:t>§ 8 Liquidation Preference</w:t>
      </w:r>
    </w:p>
    <w:p>
      <w:r>
        <w:rPr>
          <w:b/>
        </w:rPr>
        <w:t xml:space="preserve">(1) </w:t>
      </w:r>
      <w:r>
        <w:t>Upon any liquidation, dissolution, or winding up of the Company, or upon an Exit Event, the proceeds shall be distributed as follows: first, to Preferred Shareholders in accordance with their respective liquidation preferences (1x non-participating); second, to all Shareholders pro rata.</w:t>
      </w:r>
    </w:p>
    <w:p>
      <w:pPr>
        <w:pStyle w:val="Heading3"/>
      </w:pPr>
      <w:r>
        <w:t>§ 9 Governing Law and Dispute Resolution</w:t>
      </w:r>
    </w:p>
    <w:p>
      <w:r>
        <w:rPr>
          <w:b/>
        </w:rPr>
        <w:t xml:space="preserve">(1) </w:t>
      </w:r>
      <w:r>
        <w:t>This Agreement shall be governed by and construed in accordance with the laws of Germany.</w:t>
      </w:r>
    </w:p>
    <w:p>
      <w:r>
        <w:rPr>
          <w:b/>
        </w:rPr>
        <w:t xml:space="preserve">(2) </w:t>
      </w:r>
      <w:r>
        <w:t>Any dispute arising out of or in connection with this Agreement shall be finally settled by arbitration under the Rules of the German Institution of Arbitration (DIS) by three arbitrators. The seat of arbitration shall be München. The language of the arbitration shall be English or German.</w:t>
      </w:r>
    </w:p>
    <w:p>
      <w:r>
        <w:br/>
        <w:t>IN WITNESS WHEREOF, the parties have executed this Agreement as of January 10, 2020.</w:t>
        <w:br/>
        <w:br/>
        <w:t>_______________________</w:t>
        <w:tab/>
        <w:tab/>
        <w:t>_______________________</w:t>
        <w:br/>
        <w:t>Sofinnova Partners (Paris)</w:t>
        <w:tab/>
        <w:tab/>
        <w:t>Lakestar (Zürich)</w:t>
        <w:br/>
        <w:br/>
        <w:t>_______________________</w:t>
        <w:tab/>
        <w:tab/>
        <w:t>_______________________</w:t>
        <w:br/>
        <w:t>Management-Beteiligungs-GbR</w:t>
        <w:tab/>
        <w:tab/>
        <w:t>HTGF (High-Tech Gründerfonds)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