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Cash-Pooling-Vereinbarung 2024</w:t>
      </w:r>
    </w:p>
    <w:p>
      <w:pPr>
        <w:jc w:val="center"/>
      </w:pPr>
      <w:r>
        <w:t>Notional Cash Pooling der BTP-Gruppe (Muttergesellschaft + Tochter Frankreich)</w:t>
      </w:r>
    </w:p>
    <w:p/>
    <w:p>
      <w:pPr>
        <w:pStyle w:val="Heading3"/>
      </w:pPr>
      <w:r>
        <w:t>Parteien</w:t>
      </w:r>
    </w:p>
    <w:p>
      <w:r>
        <w:t>Sentavia Precision GmbH (»BTP«, Muttergesellschaft, Pool-Leader) und Sentavia Precision France S.A.S. (»BTPF«, 100 % Tochter, Sitz Lyon).</w:t>
      </w:r>
    </w:p>
    <w:p>
      <w:pPr>
        <w:pStyle w:val="Heading3"/>
      </w:pPr>
      <w:r>
        <w:t>Pool-Bank</w:t>
      </w:r>
    </w:p>
    <w:p>
      <w:r>
        <w:t>UniCredit Bank AG (HypoVereinsbank), Standort Muenchen Hauptbahnhof, fuehrt das Cash-Pooling als »Notional Cash Pooling« durch (zinsoptimierender Saldenausgleich, keine physische Liquiditaetsverschiebung). Pool-IBAN: DE42 7002 0270 0012 3456 00.</w:t>
      </w:r>
    </w:p>
    <w:p>
      <w:pPr>
        <w:pStyle w:val="Heading3"/>
      </w:pPr>
      <w:r>
        <w:t>Funktionsweise</w:t>
      </w:r>
    </w:p>
    <w:p>
      <w:r>
        <w:t>Tagliche notionale Saldenverrechnung saemtlicher EUR-Konten der teilnehmenden Gesellschaften. Sollzinsen werden auf das aggregierte Nettosaldo berechnet (Vorteil ca. 70 bp gegenueber Einzelsaldenzins). Aufrechnungsverbot bei Konkurs einer Beteiligten gemaess Cash Pool Master Agreement vom 14. Januar 2024. Limit: 5 Mio. EUR Sollsaldo aggregiert.</w:t>
      </w:r>
    </w:p>
    <w:p>
      <w:pPr>
        <w:pStyle w:val="Heading3"/>
      </w:pPr>
      <w:r>
        <w:t>Verzinsung</w:t>
      </w:r>
    </w:p>
    <w:p>
      <w:r>
        <w:t>Aktivzins: EURIBOR 1M -10 bp; Passivzins: EURIBOR 1M +175 bp. Intercompany-Verzinsung zwischen BTP und BTPF: marktueblicher Drittvergleichszinssatz (gemaess OECD Verrechnungspreisrichtlinien). Quartalsweise Verrechnung im Intercompany-Konto.</w:t>
      </w:r>
    </w:p>
    <w:p>
      <w:pPr>
        <w:pStyle w:val="Heading3"/>
      </w:pPr>
      <w:r>
        <w:t>Steuerliche / regulatorische Behandlung</w:t>
      </w:r>
    </w:p>
    <w:p>
      <w:r>
        <w:t>Verrechnungspreisdokumentation gemaess § 90 Abs. 3 AO sowie OECD-Verrechnungspreisrichtlinien. Frankreich: Anwendung der franzoesischen Verrechnungspreisregelungen (Article 57 CGI). Dokumentation im Local File/Master File der BTP-Gruppe (Erstellung durch PwC AG WPG).</w:t>
      </w:r>
    </w:p>
    <w:p>
      <w:pPr>
        <w:pStyle w:val="Heading3"/>
      </w:pPr>
      <w:r>
        <w:t>Laufzeit / Kuendigung</w:t>
      </w:r>
    </w:p>
    <w:p>
      <w:r>
        <w:t>Vertrag laeuft auf unbestimmte Zeit. Kuendigung mit Frist 3 Monate zum Quartalsende. Eine ausserordentliche Kuendigung ist bei wesentlichen Vertragsverletzungen oder bei Insolvenz einer Beteiligten zulaessig.</w:t>
      </w:r>
    </w:p>
    <w:p>
      <w:pPr>
        <w:pStyle w:val="Heading3"/>
      </w:pPr>
      <w:r>
        <w:t>Unterschriften</w:t>
      </w:r>
    </w:p>
    <w:p>
      <w:r>
        <w:t>Ort, Datum: Muenchen / Lyon, den 22. Januar 2024</w:t>
      </w:r>
    </w:p>
    <w:p>
      <w:r>
        <w:t>_________________________            _________________________</w:t>
        <w:br/>
        <w:t>Thomas Mueller                          Sebastien Renard</w:t>
        <w:br/>
        <w:t>CFO                          Directeur General</w:t>
        <w:br/>
        <w:t>Sentavia Precision GmbH                       Sentavia Precision France S.A.S.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