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Kreditrahmenvertrag</w:t>
      </w:r>
    </w:p>
    <w:p>
      <w:pPr>
        <w:jc w:val="center"/>
      </w:pPr>
      <w:r>
        <w:t>Sentavia Precision GmbH / UniCredit Bank AG (HypoVereinsbank)</w:t>
      </w:r>
    </w:p>
    <w:p/>
    <w:p>
      <w:pPr>
        <w:pStyle w:val="Heading3"/>
      </w:pPr>
      <w:r>
        <w:t>§ 1 Krediteinräumung</w:t>
      </w:r>
    </w:p>
    <w:p>
      <w:r>
        <w:rPr>
          <w:b/>
        </w:rPr>
        <w:t xml:space="preserve">(1) </w:t>
      </w:r>
      <w:r>
        <w:t>Die UniCredit Bank AG (HypoVereinsbank) (nachfolgend "Bank") räumt der Sentavia Precision GmbH, Freimannstraße 45, 80939 München, HRB 218934, (nachfolgend "Kreditnehmer") einen revolvierenden Kreditrahmen ("Kreditlinie") in Höhe von bis zu EUR 15.000.000 (in Worten: Fünfzehn Millionen Euro) ein.</w:t>
      </w:r>
    </w:p>
    <w:p>
      <w:r>
        <w:rPr>
          <w:b/>
        </w:rPr>
        <w:t xml:space="preserve">(2) </w:t>
      </w:r>
      <w:r>
        <w:t>Die Kreditlinie kann für folgende Zwecke in Anspruch genommen werden: (a) allgemeine Betriebsmittelfinanzierung; (b) kurzfristige Zwischenfinanzierung von Investitionen; (c) Überbrückung saisonaler Liquiditätsschwankungen; (d) Finanzierung von Warenlagern.</w:t>
      </w:r>
    </w:p>
    <w:p>
      <w:r>
        <w:rPr>
          <w:b/>
        </w:rPr>
        <w:t xml:space="preserve">(3) </w:t>
      </w:r>
      <w:r>
        <w:t>Der Kreditrahmen ist revolverend ausgestaltet und kann innerhalb der vereinbarten Laufzeit jederzeit in Anspruch genommen, zurückgeführt und erneut abgerufen werden.</w:t>
      </w:r>
    </w:p>
    <w:p>
      <w:pPr>
        <w:pStyle w:val="Heading3"/>
      </w:pPr>
      <w:r>
        <w:t>§ 2 Zinsen und Gebühren</w:t>
      </w:r>
    </w:p>
    <w:p>
      <w:r>
        <w:rPr>
          <w:b/>
        </w:rPr>
        <w:t xml:space="preserve">(1) </w:t>
      </w:r>
      <w:r>
        <w:t>Für in Anspruch genommene Beträge ist ein Zinssatz von EURIBOR 3M + 1,85 % p.a. zu entrichten, mindestens jedoch 2,50 % p.a. Der Zinssatz wird vierteljährlich angepasst.</w:t>
      </w:r>
    </w:p>
    <w:p>
      <w:r>
        <w:rPr>
          <w:b/>
        </w:rPr>
        <w:t xml:space="preserve">(2) </w:t>
      </w:r>
      <w:r>
        <w:t>Für nicht in Anspruch genommene Teile der Kreditlinie ist eine Bereitstellungsprovision von 0,25 % p.a. auf den nicht genutzten Betrag zu zahlen.</w:t>
      </w:r>
    </w:p>
    <w:p>
      <w:r>
        <w:rPr>
          <w:b/>
        </w:rPr>
        <w:t xml:space="preserve">(3) </w:t>
      </w:r>
      <w:r>
        <w:t>Eine einmalige Bearbeitungsgebühr von EUR 37.500 (0,25 % der Kreditlinie) ist bei Vertragsabschluss fällig.</w:t>
      </w:r>
    </w:p>
    <w:p>
      <w:pPr>
        <w:pStyle w:val="Heading3"/>
      </w:pPr>
      <w:r>
        <w:t>§ 3 Laufzeit und Kündigung</w:t>
      </w:r>
    </w:p>
    <w:p>
      <w:r>
        <w:rPr>
          <w:b/>
        </w:rPr>
        <w:t xml:space="preserve">(1) </w:t>
      </w:r>
      <w:r>
        <w:t>Die Kreditlinie wird für einen Zeitraum von 3 Jahren ab Vertragsschluss eingeräumt. Sie verlängert sich automatisch um jeweils ein weiteres Jahr, sofern sie nicht von einer Partei mit einer Frist von 6 Monaten zum Jahresende gekündigt wird.</w:t>
      </w:r>
    </w:p>
    <w:p>
      <w:r>
        <w:rPr>
          <w:b/>
        </w:rPr>
        <w:t xml:space="preserve">(2) </w:t>
      </w:r>
      <w:r>
        <w:t>Die Bank ist zur außerordentlichen Kündigung berechtigt, wenn: (a) wesentliche Covenants verletzt werden; (b) eine wesentliche Verschlechterung der Bonität eintritt; (c) ein Insolvenzantrag gestellt wird.</w:t>
      </w:r>
    </w:p>
    <w:p>
      <w:pPr>
        <w:pStyle w:val="Heading3"/>
      </w:pPr>
      <w:r>
        <w:t>§ 4 Sicherheiten</w:t>
      </w:r>
    </w:p>
    <w:p>
      <w:r>
        <w:rPr>
          <w:b/>
        </w:rPr>
        <w:t xml:space="preserve">(1) </w:t>
      </w:r>
      <w:r>
        <w:t>Der Kreditnehmer bestellt folgende Sicherheiten: (a) Globalzession aller gegenwärtigen und zukünftigen Kundenforderungen; (b) Sicherungsübereignung der Warenvorräte; (c) persönliche Bürgschaft der Gesellschafter für einen Betrag von insgesamt bis zu EUR 5.000.000.</w:t>
      </w:r>
    </w:p>
    <w:p>
      <w:pPr>
        <w:pStyle w:val="Heading3"/>
      </w:pPr>
      <w:r>
        <w:t>§ 5 Financial Covenants</w:t>
      </w:r>
    </w:p>
    <w:p>
      <w:r>
        <w:rPr>
          <w:b/>
        </w:rPr>
        <w:t xml:space="preserve">(1) </w:t>
      </w:r>
      <w:r>
        <w:t>Der Kreditnehmer verpflichtet sich, folgende Financial Covenants einzuhalten, jeweils gemessen auf Basis des geprüften Jahresabschlusses: (a) Verschuldungsgrad (Net Debt / EBITDA) kleiner als 3,0x; (b) DSCR (Debt Service Coverage Ratio) größer als 1,25x; (c) Eigenkapitalquote mindestens 35 %.</w:t>
      </w:r>
    </w:p>
    <w:p>
      <w:r>
        <w:rPr>
          <w:b/>
        </w:rPr>
        <w:t xml:space="preserve">(2) </w:t>
      </w:r>
      <w:r>
        <w:t>Die Financial Covenants sind durch den Kreditnehmer jährlich innerhalb von 120 Tagen nach Geschäftsjahresende mittels geprüften Jahresabschlusses nachzuweisen. Bei Verletzung eines Covenants ist unverzüglich die Bank zu informieren.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