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CONFIDENTIAL</w:t>
      </w:r>
    </w:p>
    <w:p>
      <w:pPr>
        <w:pStyle w:val="Heading1"/>
      </w:pPr>
      <w:r>
        <w:t>Sentavia Precision GmbH</w:t>
      </w:r>
    </w:p>
    <w:p>
      <w:r>
        <w:rPr>
          <w:sz w:val="18"/>
        </w:rPr>
        <w:t>Freimannstraße 45, 80939 München</w:t>
      </w:r>
      <w:r>
        <w:rPr>
          <w:sz w:val="18"/>
        </w:rPr>
        <w:t xml:space="preserve">  |  HRB 218934  |  Amtsgericht München</w:t>
      </w:r>
    </w:p>
    <w:p>
      <w:r>
        <w:t>────────────────────────────────────────────────────────────────────────────────</w:t>
      </w:r>
    </w:p>
    <w:p>
      <w:pPr>
        <w:pStyle w:val="Heading2"/>
      </w:pPr>
      <w:r>
        <w:t>Arbeitsvertrag – Daniel Becker</w:t>
      </w:r>
    </w:p>
    <w:p>
      <w:pPr>
        <w:jc w:val="center"/>
      </w:pPr>
      <w:r>
        <w:t>Sentavia Precision GmbH und Daniel Becker</w:t>
      </w:r>
    </w:p>
    <w:p/>
    <w:p>
      <w:r>
        <w:t>ARBEITSVERTRAG</w:t>
        <w:br/>
        <w:br/>
        <w:t>zwischen</w:t>
        <w:br/>
        <w:br/>
        <w:t>Sentavia Precision GmbH, Freimannstraße 45, 80939 München, HRB 218934</w:t>
        <w:br/>
        <w:t>– nachfolgend "Arbeitgeber" –</w:t>
        <w:br/>
        <w:br/>
        <w:t>und</w:t>
        <w:br/>
        <w:br/>
        <w:t>Daniel Becker, wohnhaft in München</w:t>
        <w:br/>
        <w:t>– nachfolgend "Arbeitnehmer" –</w:t>
      </w:r>
    </w:p>
    <w:p>
      <w:pPr>
        <w:pStyle w:val="Heading3"/>
      </w:pPr>
      <w:r>
        <w:t>§ 1 Beginn und Art der Tätigkeit</w:t>
      </w:r>
    </w:p>
    <w:p>
      <w:r>
        <w:rPr>
          <w:b/>
        </w:rPr>
        <w:t xml:space="preserve">(1) </w:t>
      </w:r>
      <w:r>
        <w:t>Das Arbeitsverhältnis beginnt am 1. Dezember 2022. Der Arbeitnehmer wird als Technical Sales im Bereich Vertrieb eingestellt.</w:t>
      </w:r>
    </w:p>
    <w:p>
      <w:r>
        <w:rPr>
          <w:b/>
        </w:rPr>
        <w:t xml:space="preserve">(2) </w:t>
      </w:r>
      <w:r>
        <w:t>Der Arbeitgeber ist berechtigt, dem Arbeitnehmer eine andere zumutbare Tätigkeit zuzuweisen, sofern dies betrieblich erforderlich ist und die neue Tätigkeit der Qualifikation und dem Erfahrungsstand des Arbeitnehmers entspricht.</w:t>
      </w:r>
    </w:p>
    <w:p>
      <w:pPr>
        <w:pStyle w:val="Heading3"/>
      </w:pPr>
      <w:r>
        <w:t>§ 2 Vergütung</w:t>
      </w:r>
    </w:p>
    <w:p>
      <w:r>
        <w:rPr>
          <w:b/>
        </w:rPr>
        <w:t xml:space="preserve">(1) </w:t>
      </w:r>
      <w:r>
        <w:t>Der Arbeitnehmer erhält ein monatliches Bruttogehalt von 5.833 EUR (Jahresgehalt: 70.000 EUR), zahlbar am letzten Werktag eines jeden Kalendermonats.</w:t>
      </w:r>
    </w:p>
    <w:p>
      <w:r>
        <w:rPr>
          <w:b/>
        </w:rPr>
        <w:t xml:space="preserve">(2) </w:t>
      </w:r>
      <w:r>
        <w:t>Zusätzlich kann der Arbeitnehmer eine leistungsbezogene Jahresprämie (Bonus) von bis zu 15 % des Jahresbruttogehalts erhalten. Die Gewährung erfolgt nach freiem Ermessen des Arbeitgebers auf Basis der individuellen Leistungsbeurteilung und der Zielerreichung.</w:t>
      </w:r>
    </w:p>
    <w:p>
      <w:r>
        <w:rPr>
          <w:b/>
        </w:rPr>
        <w:t xml:space="preserve">(3) </w:t>
      </w:r>
      <w:r>
        <w:t>Der Arbeitnehmer erhält einen Zuschuss zur betrieblichen Altersvorsorge (bAV) in Höhe von 20 % des vom Arbeitnehmer eingezahlten Betrags, maximal EUR 1.200 pro Jahr.</w:t>
      </w:r>
    </w:p>
    <w:p>
      <w:pPr>
        <w:pStyle w:val="Heading3"/>
      </w:pPr>
      <w:r>
        <w:t>§ 3 Arbeitszeit</w:t>
      </w:r>
    </w:p>
    <w:p>
      <w:r>
        <w:rPr>
          <w:b/>
        </w:rPr>
        <w:t xml:space="preserve">(1) </w:t>
      </w:r>
      <w:r>
        <w:t>Die regelmäßige wöchentliche Arbeitszeit beträgt 40 Stunden. Beginn und Ende der täglichen Arbeitszeit richten sich nach den betrieblichen Erfordernissen und sind mit dem Vorgesetzten abzustimmen.</w:t>
      </w:r>
    </w:p>
    <w:p>
      <w:r>
        <w:rPr>
          <w:b/>
        </w:rPr>
        <w:t xml:space="preserve">(2) </w:t>
      </w:r>
      <w:r>
        <w:t>Mehrarbeit ist mit dem Gehalt abgegolten, soweit sie 10 % der vertraglich vereinbarten Arbeitszeit nicht übersteigt. Darüber hinausgehende Mehrarbeit ist durch Freizeitausgleich oder eine gesonderte schriftliche Vereinbarung zu kompensieren.</w:t>
      </w:r>
    </w:p>
    <w:p>
      <w:pPr>
        <w:pStyle w:val="Heading3"/>
      </w:pPr>
      <w:r>
        <w:t>§ 4 Urlaub</w:t>
      </w:r>
    </w:p>
    <w:p>
      <w:r>
        <w:rPr>
          <w:b/>
        </w:rPr>
        <w:t xml:space="preserve">(1) </w:t>
      </w:r>
      <w:r>
        <w:t>Der Arbeitnehmer hat Anspruch auf 28 Arbeitstage Erholungsurlaub im Kalenderjahr (Urlaubsjahr = Kalenderjahr). Bei Ein- oder Austritt im Laufe des Jahres wird der Urlaub anteilig gewährt.</w:t>
      </w:r>
    </w:p>
    <w:p>
      <w:r>
        <w:rPr>
          <w:b/>
        </w:rPr>
        <w:t xml:space="preserve">(2) </w:t>
      </w:r>
      <w:r>
        <w:t>Der Urlaub ist in Absprache mit dem Vorgesetzten zu nehmen und möglichst bis zum Ende des Kalenderjahres zu verbrauchen. Ein Übertrag ins Folgejahr ist nur bei dringenden betrieblichen Gründen oder persönlichen Verhinderungen und nur bis zum 31. März möglich.</w:t>
      </w:r>
    </w:p>
    <w:p>
      <w:pPr>
        <w:pStyle w:val="Heading3"/>
      </w:pPr>
      <w:r>
        <w:t>§ 5 Geheimhaltung</w:t>
      </w:r>
    </w:p>
    <w:p>
      <w:r>
        <w:rPr>
          <w:b/>
        </w:rPr>
        <w:t xml:space="preserve">(1) </w:t>
      </w:r>
      <w:r>
        <w:t>Der Arbeitnehmer verpflichtet sich, über alle ihm im Rahmen seiner Tätigkeit bekannt werdenden Geschäfts- und Betriebsgeheimnisse sowie vertraulichen Informationen der Gesellschaft und ihrer Kunden Stillschweigen zu bewahren. Diese Verpflichtung gilt auch nach Beendigung des Arbeitsverhältnisses.</w:t>
      </w:r>
    </w:p>
    <w:p>
      <w:r>
        <w:rPr>
          <w:b/>
        </w:rPr>
        <w:t xml:space="preserve">(2) </w:t>
      </w:r>
      <w:r>
        <w:t>Zu den vertraulichen Informationen zählen insbesondere: technische Spezifikationen, klinische Daten, Kundenlisten, Lieferantenkonditionen, Finanzinformationen sowie Informationen über laufende Produktentwicklungen und Zulassungsverfahren.</w:t>
      </w:r>
    </w:p>
    <w:p>
      <w:pPr>
        <w:pStyle w:val="Heading3"/>
      </w:pPr>
      <w:r>
        <w:t>§ 6 Erfindungen und Urheberrecht</w:t>
      </w:r>
    </w:p>
    <w:p>
      <w:r>
        <w:rPr>
          <w:b/>
        </w:rPr>
        <w:t xml:space="preserve">(1) </w:t>
      </w:r>
      <w:r>
        <w:t>Alle Erfindungen, Entwicklungen, Software und sonstigen schutzfähigen Leistungen, die der Arbeitnehmer im Rahmen seiner Tätigkeit erbringt ("Arbeitnehmererfindungen"), werden dem Arbeitgeber gemäß Arbeitnehmererfindungsgesetz (ArbnErfG) gemeldet und von diesem in Anspruch genommen.</w:t>
      </w:r>
    </w:p>
    <w:p>
      <w:r>
        <w:rPr>
          <w:b/>
        </w:rPr>
        <w:t xml:space="preserve">(2) </w:t>
      </w:r>
      <w:r>
        <w:t>Der Arbeitnehmer erhält für in Anspruch genommene Diensterfindungen eine angemessene Vergütung gemäß den Richtlinien für die Vergütung von Arbeitnehmererfindungen (Vergütungsrichtlinien Nr. 12 des DPMA).</w:t>
      </w:r>
    </w:p>
    <w:p>
      <w:pPr>
        <w:pStyle w:val="Heading3"/>
      </w:pPr>
      <w:r>
        <w:t>§ 7 Kündigung</w:t>
      </w:r>
    </w:p>
    <w:p>
      <w:r>
        <w:rPr>
          <w:b/>
        </w:rPr>
        <w:t xml:space="preserve">(1) </w:t>
      </w:r>
      <w:r>
        <w:t>Das Arbeitsverhältnis kann nach Ablauf der Probezeit (6 Monate) von beiden Seiten mit einer Frist von 3 Monaten zum Monatsende gekündigt werden. Bei längerer Betriebszugehörigkeit verlängern sich die Kündigungsfristen gemäß § 622 BGB.</w:t>
      </w:r>
    </w:p>
    <w:p>
      <w:r>
        <w:rPr>
          <w:b/>
        </w:rPr>
        <w:t xml:space="preserve">(2) </w:t>
      </w:r>
      <w:r>
        <w:t>Das Recht zur außerordentlichen Kündigung aus wichtigem Grund (§ 626 BGB) bleibt unberührt.</w:t>
      </w:r>
    </w:p>
    <w:p>
      <w:pPr>
        <w:pStyle w:val="Heading3"/>
      </w:pPr>
      <w:r>
        <w:t>§ 8 Schlussbestimmungen</w:t>
      </w:r>
    </w:p>
    <w:p>
      <w:r>
        <w:rPr>
          <w:b/>
        </w:rPr>
        <w:t xml:space="preserve">(1) </w:t>
      </w:r>
      <w:r>
        <w:t>Änderungen und Ergänzungen dieses Vertrags bedürfen der Schriftform. Nebenabreden wurden nicht getroffen.</w:t>
      </w:r>
    </w:p>
    <w:p>
      <w:r>
        <w:rPr>
          <w:b/>
        </w:rPr>
        <w:t xml:space="preserve">(2) </w:t>
      </w:r>
      <w:r>
        <w:t>Sollten einzelne Bestimmungen dieses Vertrags unwirksam sein, bleibt die Wirksamkeit des übrigen Vertrags unberührt. An die Stelle unwirksamer Klauseln tritt eine wirksame Regelung, die dem wirtschaftlichen Zweck am nächsten kommt.</w:t>
      </w:r>
    </w:p>
    <w:p>
      <w:r>
        <w:rPr>
          <w:b/>
        </w:rPr>
        <w:t xml:space="preserve">(3) </w:t>
      </w:r>
      <w:r>
        <w:t>Es gilt deutsches Recht. Gerichtsstand: München.</w:t>
      </w:r>
    </w:p>
    <w:p>
      <w:r>
        <w:br/>
        <w:br/>
        <w:t>München, den 1. Dezember 2022</w:t>
        <w:br/>
        <w:br/>
        <w:t>_______________________</w:t>
        <w:tab/>
        <w:tab/>
        <w:t>_______________________</w:t>
        <w:br/>
        <w:t>Sentavia Precision GmbH</w:t>
        <w:tab/>
        <w:tab/>
        <w:t>Daniel Becker</w:t>
        <w:br/>
        <w:t>(Arbeitgeber)</w:t>
        <w:tab/>
        <w:tab/>
        <w:tab/>
        <w:t>(Arbeitnehmer)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