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Sentavia Precision GmbH</w:t>
      </w:r>
    </w:p>
    <w:p>
      <w:r>
        <w:rPr>
          <w:sz w:val="18"/>
        </w:rPr>
        <w:t>Freimannstraße 45, 80939 München  |  HRB 218934, Amtsgericht München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Remote-Work-Richtlinie 2024</w:t>
      </w:r>
    </w:p>
    <w:p>
      <w:pPr>
        <w:jc w:val="center"/>
      </w:pPr>
      <w:r>
        <w:t>Gueltig ab 1. April 2024</w:t>
      </w:r>
    </w:p>
    <w:p/>
    <w:p>
      <w:pPr>
        <w:pStyle w:val="Heading3"/>
      </w:pPr>
      <w:r>
        <w:t>Geltungsbereich</w:t>
      </w:r>
    </w:p>
    <w:p>
      <w:r>
        <w:t>Diese Richtlinie regelt die Bedingungen fuer Remote-Arbeit (Homeoffice und mobiles Arbeiten) bei der Sentavia Precision GmbH. Sie gilt fuer alle Beschaeftigten, deren Taetigkeit ueberwiegend ortsunabhaengig erbracht werden kann. Ausgenommen: Reinraum-Produktion, Service-Techniker im Aussendienst, Laborarbeit.</w:t>
      </w:r>
    </w:p>
    <w:p>
      <w:pPr>
        <w:pStyle w:val="Heading3"/>
      </w:pPr>
      <w:r>
        <w:t>Umfang Remote-Arbeit</w:t>
      </w:r>
    </w:p>
    <w:p>
      <w:r>
        <w:t>Standardregelung: bis zu 60 % der woechentlichen Arbeitszeit (3 Tage bei 5-Tage-Woche) koennen remote erbracht werden. Bei Sondersituationen (z. B. Familienpflege, Schwerbehinderung) kann mit Zustimmung der Personalleitung der Anteil erhoeht werden. Mind. 2 Praesenztage pro Woche sind fuer Teams mit ueberwiegend physischer Zusammenarbeit (F&amp;E, QM) verpflichtend.</w:t>
      </w:r>
    </w:p>
    <w:p>
      <w:pPr>
        <w:pStyle w:val="Heading3"/>
      </w:pPr>
      <w:r>
        <w:t>Arbeitsort und Erreichbarkeit</w:t>
      </w:r>
    </w:p>
    <w:p>
      <w:r>
        <w:t>Der mobile Arbeitsort liegt in der Regel im Privathaushalt des/der Beschaeftigten innerhalb Deutschlands. Andere Orte (z. B. Bibliothek, Cafe, Coworking-Space) sind nur zulaessig, wenn Vertraulichkeit, Datenschutz und Datensicherheit gewaehrleistet sind. Erreichbarkeit Mo-Fr 09:00-15:00 Uhr ueber Microsoft Teams und Telefon.</w:t>
      </w:r>
    </w:p>
    <w:p>
      <w:pPr>
        <w:pStyle w:val="Heading3"/>
      </w:pPr>
      <w:r>
        <w:t>Arbeitsmittel und Infrastruktur</w:t>
      </w:r>
    </w:p>
    <w:p>
      <w:r>
        <w:t>Der Arbeitgeber stellt: Notebook, Headset, Bildschirm, Tastatur, ergonomische Maus. Energie-/Internetpauschale 30 EUR/Monat (max. 6 EUR/Tag, max. 210 Tage/Jahr gemaess EStG). VPN-Zugang ueber Cisco AnyConnect; MFA verpflichtend. Verschluesselung BitLocker.</w:t>
      </w:r>
    </w:p>
    <w:p>
      <w:pPr>
        <w:pStyle w:val="Heading3"/>
      </w:pPr>
      <w:r>
        <w:t>Datenschutz und Informationssicherheit</w:t>
      </w:r>
    </w:p>
    <w:p>
      <w:r>
        <w:t>Externe Personen (Familie, Besuche) sind vom Arbeitsplatz fernzuhalten. Bildschirmschoner aktiviert (Sperre nach 5 Min.). Patientendaten / klinische Daten duerfen NICHT remote bearbeitet werden (nur in der gesicherten Klinik-Datenbank REDCap, Zugriff nur im Buero). Dokumente nicht ausdrucken; wenn unvermeidlich: Vernichtung gemaess DIN 66399 Sicherheitsstufe 3.</w:t>
      </w:r>
    </w:p>
    <w:p>
      <w:pPr>
        <w:pStyle w:val="Heading3"/>
      </w:pPr>
      <w:r>
        <w:t>Beendigung der Vereinbarung</w:t>
      </w:r>
    </w:p>
    <w:p>
      <w:r>
        <w:t>Im Einzelfall kann die Remote-Arbeit mit Frist von 4 Wochen wieder beendet werden; Begruendungspflicht durch den Arbeitgeber.</w:t>
      </w:r>
    </w:p>
    <w:p>
      <w:pPr>
        <w:pStyle w:val="Heading3"/>
      </w:pPr>
      <w:r>
        <w:t>Unterschriften</w:t>
      </w:r>
    </w:p>
    <w:p>
      <w:r>
        <w:t>Ort, Datum: Muenchen, den 22. Maerz 2024</w:t>
      </w:r>
    </w:p>
    <w:p>
      <w:r>
        <w:t>_________________________            _________________________</w:t>
        <w:br/>
        <w:t>Dr. Katharina Berger                          Andrea Schneider</w:t>
        <w:br/>
        <w:t>CEO                          Head of Operations</w:t>
        <w:br/>
        <w:t>Sentavia Precision GmbH                       Sentavia Precision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