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/ CONFIDENTIAL</w:t>
      </w:r>
    </w:p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Distribution Agreement – B. Braun SE</w:t>
      </w:r>
    </w:p>
    <w:p>
      <w:pPr>
        <w:jc w:val="center"/>
      </w:pPr>
      <w:r>
        <w:t>Sentavia Precision GmbH and B. Braun SE</w:t>
      </w:r>
    </w:p>
    <w:p/>
    <w:p>
      <w:pPr>
        <w:pStyle w:val="Heading3"/>
      </w:pPr>
      <w:r>
        <w:t>§ 1 Appointment and Territory</w:t>
      </w:r>
    </w:p>
    <w:p>
      <w:r>
        <w:rPr>
          <w:b/>
        </w:rPr>
        <w:t xml:space="preserve">(1) </w:t>
      </w:r>
      <w:r>
        <w:t>Sentavia Precision GmbH ("Manufacturer") hereby appoints B. Braun SE ("Distributor") as exclusive distributor for the Products listed in Schedule 1 in the territory of Südeuropa (Italien, Spanien, Portugal).</w:t>
      </w:r>
    </w:p>
    <w:p>
      <w:r>
        <w:rPr>
          <w:b/>
        </w:rPr>
        <w:t xml:space="preserve">(2) </w:t>
      </w:r>
      <w:r>
        <w:t>Distributor accepts this appointment and agrees to use commercially reasonable efforts to promote and sell the Products throughout the Territory.</w:t>
      </w:r>
    </w:p>
    <w:p>
      <w:pPr>
        <w:pStyle w:val="Heading3"/>
      </w:pPr>
      <w:r>
        <w:t>§ 2 Regulatory Compliance</w:t>
      </w:r>
    </w:p>
    <w:p>
      <w:r>
        <w:rPr>
          <w:b/>
        </w:rPr>
        <w:t xml:space="preserve">(1) </w:t>
      </w:r>
      <w:r>
        <w:t>Distributor represents that it holds all licenses, permits, and registrations required under applicable law to import, store, and distribute the Products in the Territory.</w:t>
      </w:r>
    </w:p>
    <w:p>
      <w:r>
        <w:rPr>
          <w:b/>
        </w:rPr>
        <w:t xml:space="preserve">(2) </w:t>
      </w:r>
      <w:r>
        <w:t>Distributor shall comply with all applicable local regulations regarding the distribution of medical devices, including but not limited to EU MDR 2017/745 distributor obligations.</w:t>
      </w:r>
    </w:p>
    <w:p>
      <w:r>
        <w:rPr>
          <w:b/>
        </w:rPr>
        <w:t xml:space="preserve">(3) </w:t>
      </w:r>
      <w:r>
        <w:t>Distributor shall maintain a traceability system for all Products distributed and shall provide Manufacturer with full traceability records within 48 hours of request.</w:t>
      </w:r>
    </w:p>
    <w:p>
      <w:pPr>
        <w:pStyle w:val="Heading3"/>
      </w:pPr>
      <w:r>
        <w:t>§ 3 Minimum Purchase Obligations</w:t>
      </w:r>
    </w:p>
    <w:p>
      <w:r>
        <w:rPr>
          <w:b/>
        </w:rPr>
        <w:t xml:space="preserve">(1) </w:t>
      </w:r>
      <w:r>
        <w:t>Distributor commits to minimum annual purchases of EUR 4,000,000 in Year 1, EUR {random.randint(3,6)*1_000_000:,} in Year 2, and EUR {random.randint(4,8)*1_000_000:,} in Year 3.</w:t>
      </w:r>
    </w:p>
    <w:p>
      <w:pPr>
        <w:pStyle w:val="Heading3"/>
      </w:pPr>
      <w:r>
        <w:t>§ 4 Governing Law</w:t>
      </w:r>
    </w:p>
    <w:p>
      <w:r>
        <w:rPr>
          <w:b/>
        </w:rPr>
        <w:t xml:space="preserve">(1) </w:t>
      </w:r>
      <w:r>
        <w:t>This Agreement shall be governed by and construed in accordance with German law. The United Nations Convention on Contracts for the International Sale of Goods (CISG) shall not apply.</w:t>
      </w:r>
    </w:p>
    <w:p>
      <w:r>
        <w:rPr>
          <w:b/>
        </w:rPr>
        <w:t xml:space="preserve">(2) </w:t>
      </w:r>
      <w:r>
        <w:t>All disputes shall be submitted to binding arbitration under DIS rules in Munich.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