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Distributionsvertrag – Siemens Healthineers AG</w:t>
      </w:r>
    </w:p>
    <w:p>
      <w:pPr>
        <w:jc w:val="center"/>
      </w:pPr>
      <w:r>
        <w:t>Sentavia Precision GmbH und Siemens Healthineers AG</w:t>
      </w:r>
    </w:p>
    <w:p/>
    <w:p>
      <w:pPr>
        <w:pStyle w:val="Heading2"/>
      </w:pPr>
      <w:r>
        <w:t>DISTRIBUTIONSVERTRAG</w:t>
        <w:br/>
      </w:r>
    </w:p>
    <w:p>
      <w:r>
        <w:t>zwischen</w:t>
        <w:br/>
        <w:br/>
        <w:t>Sentavia Precision GmbH, Freimannstraße 45, 80939 München, HRB 218934</w:t>
        <w:br/>
        <w:t>– nachfolgend "Hersteller" –</w:t>
        <w:br/>
        <w:br/>
        <w:t>und</w:t>
        <w:br/>
        <w:br/>
        <w:t>Siemens Healthineers AG</w:t>
        <w:br/>
        <w:t>– nachfolgend "Distributor" –</w:t>
        <w:br/>
        <w:br/>
        <w:t>Präambel:</w:t>
        <w:br/>
        <w:br/>
        <w:t>Der Hersteller entwickelt, produziert und vertreibt innovative Medizinprodukte der Klassen IIa und IIb gemäß EU-MDR 2017/745 sowie In-vitro-Diagnostika nach IVDR 2017/746. Der Distributor verfügt über umfangreiche Erfahrung im Vertrieb von Medizinprodukten im Gebiet DACH (Deutschland, Österreich, Schweiz) und hat die regulatorischen, logistischen und vertrieblichen Voraussetzungen geschaffen, die für den Vertrieb der Produkte des Herstellers erforderlich sind. Die Parteien beabsichtigen, ihre Zusammenarbeit im Bereich des Vertriebs von Medizinprodukten auf der Grundlage dieses Vertrags zu regeln.</w:t>
      </w:r>
    </w:p>
    <w:p>
      <w:pPr>
        <w:pStyle w:val="Heading3"/>
      </w:pPr>
      <w:r>
        <w:t>§ 1 Vertragsgegenstand</w:t>
      </w:r>
    </w:p>
    <w:p>
      <w:r>
        <w:rPr>
          <w:b/>
        </w:rPr>
        <w:t xml:space="preserve">(1) </w:t>
      </w:r>
      <w:r>
        <w:t>Der Hersteller ernennt den Distributor zum exklusiven Distributor für die in Anlage 1 aufgeführten Produkte (Cardevio Pro, Ostevo Navigator, Veridiq SARS-Flex) für das Vertragsgebiet DACH (Deutschland, Österreich, Schweiz).</w:t>
      </w:r>
    </w:p>
    <w:p>
      <w:r>
        <w:rPr>
          <w:b/>
        </w:rPr>
        <w:t xml:space="preserve">(2) </w:t>
      </w:r>
      <w:r>
        <w:t>Der Distributor erwirbt die Produkte vom Hersteller auf eigene Rechnung und im eigenen Namen und vertreibt sie im Vertragsgebiet. Der Distributor ist kein Handelsvertreter im Sinne des HGB; er handelt nicht als Beauftragter oder Vertreter des Herstellers.</w:t>
      </w:r>
    </w:p>
    <w:p>
      <w:r>
        <w:rPr>
          <w:b/>
        </w:rPr>
        <w:t xml:space="preserve">(3) </w:t>
      </w:r>
      <w:r>
        <w:t>Dieser Vertrag gilt ausschließlich für die in Anlage 1 aufgelisteten Produkte in den jeweils aktuellen CE-gekennzeichneten Versionen. Änderungen der Produktpalette bedürfen einer schriftlichen Ergänzungsvereinbarung.</w:t>
      </w:r>
    </w:p>
    <w:p>
      <w:pPr>
        <w:pStyle w:val="Heading3"/>
      </w:pPr>
      <w:r>
        <w:t>§ 2 Exklusivität und Gebietsschutz</w:t>
      </w:r>
    </w:p>
    <w:p>
      <w:r>
        <w:rPr>
          <w:b/>
        </w:rPr>
        <w:t xml:space="preserve">(1) </w:t>
      </w:r>
      <w:r>
        <w:t>Der Hersteller verpflichtet sich, während der Laufzeit dieses Vertrags keine anderen Distributoren für das Vertragsgebiet DACH (Deutschland, Österreich, Schweiz) zu ernennen und das Vertragsgebiet nicht selbst aktiv zu bearbeiten.</w:t>
      </w:r>
    </w:p>
    <w:p>
      <w:r>
        <w:rPr>
          <w:b/>
        </w:rPr>
        <w:t xml:space="preserve">(2) </w:t>
      </w:r>
      <w:r>
        <w:t>Der Distributor verpflichtet sich, aktive Verkaufsbemühungen außerhalb des Vertragsgebiets zu unterlassen. Passive Verkäufe – d.h. unaufgeforderte Anfragen aus dem EU-Ausland – sind gestattet, sofern dies EU-rechtlich zulässig ist.</w:t>
      </w:r>
    </w:p>
    <w:p>
      <w:r>
        <w:rPr>
          <w:b/>
        </w:rPr>
        <w:t xml:space="preserve">(3) </w:t>
      </w:r>
      <w:r>
        <w:t>Der Gebietsschutz erlischt, wenn der Distributor in zwei aufeinanderfolgenden Jahren die vereinbarten Mindestabnahmemengen (§ 3) unterschreitet. In diesem Fall kann der Hersteller nach 60-tägiger Abhilfefrist die Exklusivität schriftlich widerrufen.</w:t>
      </w:r>
    </w:p>
    <w:p>
      <w:r>
        <w:rPr>
          <w:b/>
        </w:rPr>
        <w:t xml:space="preserve">(4) </w:t>
      </w:r>
      <w:r>
        <w:t>Bei Beendigung der Exklusivität hat der Distributor für eine Übergangszeit von 12 Monaten das Recht, bestehende Kundenbeziehungen zu Sonderkonditionen weiterzubedienen.</w:t>
      </w:r>
    </w:p>
    <w:p>
      <w:pPr>
        <w:pStyle w:val="Heading3"/>
      </w:pPr>
      <w:r>
        <w:t>§ 3 Mindestabnahmemengen und Forecasting</w:t>
      </w:r>
    </w:p>
    <w:p>
      <w:r>
        <w:rPr>
          <w:b/>
        </w:rPr>
        <w:t xml:space="preserve">(1) </w:t>
      </w:r>
      <w:r>
        <w:t>Der Distributor verpflichtet sich, in den Jahren der Vertragslaufzeit folgende Mindestabnahmemengen zu erwerben: Jahr 1: 6.000.000 EUR; Jahr 2: 7.000.000 EUR; Jahr 3: 7.000.000 EUR.</w:t>
      </w:r>
    </w:p>
    <w:p>
      <w:r>
        <w:rPr>
          <w:b/>
        </w:rPr>
        <w:t xml:space="preserve">(2) </w:t>
      </w:r>
      <w:r>
        <w:t>Zum 1. Oktober jedes Jahres übermittelt der Distributor dem Hersteller eine Absatzplanung (Forecast) für das folgende Kalenderjahr, aufgeschlüsselt nach Produkten und Quartalen. Die Absatzplanung ist nicht verbindlich, dient aber als Grundlage für die Produktionsplanung des Herstellers.</w:t>
      </w:r>
    </w:p>
    <w:p>
      <w:r>
        <w:rPr>
          <w:b/>
        </w:rPr>
        <w:t xml:space="preserve">(3) </w:t>
      </w:r>
      <w:r>
        <w:t>Zusätzlich übermittelt der Distributor monatlich bis zum 5. Werktag des Folgemonats einen Rolling-Forecast für die nächsten 3 Monate ("Rolling 3-Month Forecast").</w:t>
      </w:r>
    </w:p>
    <w:p>
      <w:r>
        <w:rPr>
          <w:b/>
        </w:rPr>
        <w:t xml:space="preserve">(4) </w:t>
      </w:r>
      <w:r>
        <w:t>Unterschreitet der Distributor die Mindestabnahmemenge eines Jahres um mehr als 20 %, hat der Hersteller das Recht, die vereinbarte Exklusivität zu widerrufen oder den Vertrag außerordentlich zu kündigen.</w:t>
      </w:r>
    </w:p>
    <w:p>
      <w:r>
        <w:rPr>
          <w:b/>
        </w:rPr>
        <w:t xml:space="preserve">(5) </w:t>
      </w:r>
      <w:r>
        <w:t>Der Distributor informiert den Hersteller unverzüglich über Umstände, die eine wesentliche Abweichung von der Absatzplanung erwarten lassen, insbesondere über verlorene Ausschreibungen oder Veränderungen in der Wettbewerbssituation.</w:t>
      </w:r>
    </w:p>
    <w:p>
      <w:pPr>
        <w:pStyle w:val="Heading3"/>
      </w:pPr>
      <w:r>
        <w:t>§ 4 Preise und Zahlungsbedingungen</w:t>
      </w:r>
    </w:p>
    <w:p>
      <w:r>
        <w:rPr>
          <w:b/>
        </w:rPr>
        <w:t xml:space="preserve">(1) </w:t>
      </w:r>
      <w:r>
        <w:t>Die Einkaufspreise des Distributors sind in Anlage 2 (Preisliste) festgelegt. Der Hersteller behält sich das Recht vor, die Preisliste einmal jährlich mit einer Vorankündigungsfrist von 90 Tagen anzupassen. Preissenkungen gelten sofort.</w:t>
      </w:r>
    </w:p>
    <w:p>
      <w:r>
        <w:rPr>
          <w:b/>
        </w:rPr>
        <w:t xml:space="preserve">(2) </w:t>
      </w:r>
      <w:r>
        <w:t>Rechnungen sind innerhalb von 30 Tagen nach Rechnungsdatum ohne Abzug zu begleichen. Bei Zahlung innerhalb von 10 Tagen gewährt der Hersteller ein Skonto von 2 %. Bei Zahlungsverzug werden Verzugszinsen gemäß § 288 Abs. 2 BGB berechnet.</w:t>
      </w:r>
    </w:p>
    <w:p>
      <w:r>
        <w:rPr>
          <w:b/>
        </w:rPr>
        <w:t xml:space="preserve">(3) </w:t>
      </w:r>
      <w:r>
        <w:t>Der Distributor ist nicht berechtigt, gegenüber Preisforderungen des Herstellers mit eigenen Gegenansprüchen aufzurechnen, es sei denn, die Gegenansprüche sind unbestritten oder rechtskräftig festgestellt.</w:t>
      </w:r>
    </w:p>
    <w:p>
      <w:r>
        <w:rPr>
          <w:b/>
        </w:rPr>
        <w:t xml:space="preserve">(4) </w:t>
      </w:r>
      <w:r>
        <w:t>Alle Preise verstehen sich zuzüglich der jeweils geltenden gesetzlichen Umsatzsteuer. Einfuhrzölle und Importabgaben im Vertragsgebiet trägt der Distributor.</w:t>
      </w:r>
    </w:p>
    <w:p>
      <w:pPr>
        <w:pStyle w:val="Heading3"/>
      </w:pPr>
      <w:r>
        <w:t>§ 5 Lieferbedingungen und Abnahme</w:t>
      </w:r>
    </w:p>
    <w:p>
      <w:r>
        <w:rPr>
          <w:b/>
        </w:rPr>
        <w:t xml:space="preserve">(1) </w:t>
      </w:r>
      <w:r>
        <w:t>Lieferungen erfolgen ab Werk München (Incoterms® 2020: EXW). Gefahr und Kosten gehen mit Übergabe an den Frachtführer auf den Distributor über.</w:t>
      </w:r>
    </w:p>
    <w:p>
      <w:r>
        <w:rPr>
          <w:b/>
        </w:rPr>
        <w:t xml:space="preserve">(2) </w:t>
      </w:r>
      <w:r>
        <w:t>Der Distributor ist verpflichtet, bei Anlieferung eine Eingangskontrolle durchzuführen (Qualitätseingangsprüfung gemäß ISO 13485). Mängel sind innerhalb von 5 Werktagen nach Anlieferung schriftlich zu rügen.</w:t>
      </w:r>
    </w:p>
    <w:p>
      <w:r>
        <w:rPr>
          <w:b/>
        </w:rPr>
        <w:t xml:space="preserve">(3) </w:t>
      </w:r>
      <w:r>
        <w:t>Lieferzeiten sind unverbindliche Richtzeiten. Der Hersteller bemüht sich, Bestellungen innerhalb von 10 Werktagen zu bearbeiten. Bei Engpässen werden verfügbare Mengen anteilig auf alle Distributoren aufgeteilt.</w:t>
      </w:r>
    </w:p>
    <w:p>
      <w:r>
        <w:rPr>
          <w:b/>
        </w:rPr>
        <w:t xml:space="preserve">(4) </w:t>
      </w:r>
      <w:r>
        <w:t>Der Distributor verpflichtet sich, eine Mindestbevorratung von 4 Wochen Umsatz je Produkt aufrechtzuerhalten. Hierüber ist dem Hersteller monatlich Bericht zu erstatten.</w:t>
      </w:r>
    </w:p>
    <w:p>
      <w:r>
        <w:rPr>
          <w:b/>
        </w:rPr>
        <w:t xml:space="preserve">(5) </w:t>
      </w:r>
      <w:r>
        <w:t>Mindesthaltbarkeitsdaten: Der Distributor bestellt nur Produkte mit einer Restlaufzeit von mindestens 18 Monaten. Produkte mit kürzerer Restlaufzeit werden nur auf ausdrücklichen schriftlichen Wunsch des Distributors geliefert.</w:t>
      </w:r>
    </w:p>
    <w:p>
      <w:pPr>
        <w:pStyle w:val="Heading3"/>
      </w:pPr>
      <w:r>
        <w:t>§ 6 Regulatorische Pflichten des Distributors</w:t>
      </w:r>
    </w:p>
    <w:p>
      <w:r>
        <w:rPr>
          <w:b/>
        </w:rPr>
        <w:t xml:space="preserve">(1) </w:t>
      </w:r>
      <w:r>
        <w:t>Der Distributor bestätigt, dass er alle regulatorischen Anforderungen erfüllt, die im Vertragsgebiet für den Vertrieb von Medizinprodukten gelten, insbesondere die Anforderungen der EU-MDR 2017/745 und der IVDR 2017/746 an Distributoren (Art. 14 MDR / Art. 10 IVDR).</w:t>
      </w:r>
    </w:p>
    <w:p>
      <w:r>
        <w:rPr>
          <w:b/>
        </w:rPr>
        <w:t xml:space="preserve">(2) </w:t>
      </w:r>
      <w:r>
        <w:t>Der Distributor verpflichtet sich, bei Verdacht auf oder Kenntnis von schwerwiegenden Vorkommnissen (Serious Incidents gemäß Art. 87 MDR) den Hersteller unverzüglich, spätestens jedoch innerhalb von 24 Stunden, zu informieren. Der Distributor meldet keine Vorkommnisse direkt an Behörden, ohne vorherige Absprache mit dem Hersteller.</w:t>
      </w:r>
    </w:p>
    <w:p>
      <w:r>
        <w:rPr>
          <w:b/>
        </w:rPr>
        <w:t xml:space="preserve">(3) </w:t>
      </w:r>
      <w:r>
        <w:t>Feldsicherheitskorrekturmaßnahmen (FSCA): Im Falle einer vom Hersteller angeordneten FSCA (Field Safety Corrective Action) ist der Distributor verpflichtet, betroffene Produkte innerhalb der vom Hersteller gesetzten Frist zurückzurufen und alle betroffenen Kunden schriftlich zu informieren. Kosten der FSCA trägt der Hersteller.</w:t>
      </w:r>
    </w:p>
    <w:p>
      <w:r>
        <w:rPr>
          <w:b/>
        </w:rPr>
        <w:t xml:space="preserve">(4) </w:t>
      </w:r>
      <w:r>
        <w:t>UDI-Compliance: Der Distributor stellt sicher, dass an den Produkten keine Veränderungen vorgenommen werden, die die Konformität mit den UDI-Anforderungen (Art. 27 MDR) beeinträchtigen. Insbesondere dürfen Etiketten oder UDI-Träger nicht entfernt, überklebt oder verändert werden.</w:t>
      </w:r>
    </w:p>
    <w:p>
      <w:r>
        <w:rPr>
          <w:b/>
        </w:rPr>
        <w:t xml:space="preserve">(5) </w:t>
      </w:r>
      <w:r>
        <w:t>Der Distributor führt ein vollständiges Rückverfolgungssystem (Traceability System) für alle gelieferten Produkte, das die Identifizierung von Lot-Nummern, Seriennummern, Endanwendern und Versorgungszeitpunkt ermöglicht. Diese Informationen sind dem Hersteller auf Anfrage unverzüglich mitzuteilen und für mindestens 15 Jahre aufzubewahren.</w:t>
      </w:r>
    </w:p>
    <w:p>
      <w:r>
        <w:rPr>
          <w:b/>
        </w:rPr>
        <w:t xml:space="preserve">(6) </w:t>
      </w:r>
      <w:r>
        <w:t>Der Distributor kooperiert vollumfänglich bei Post-Market-Surveillance-Aktivitäten (PMS) des Herstellers gemäß Art. 83 ff. MDR. Er stellt dem Hersteller regelmäßig Informationen über die Marktbeobachtung zur Verfügung, einschließlich Kundenfeedback, Beschwerden und Informationen über vergleichbare Wettbewerbsprodukte.</w:t>
      </w:r>
    </w:p>
    <w:p>
      <w:pPr>
        <w:pStyle w:val="Heading3"/>
      </w:pPr>
      <w:r>
        <w:t>§ 7 Produkthaftung und Rückrufe</w:t>
      </w:r>
    </w:p>
    <w:p>
      <w:r>
        <w:rPr>
          <w:b/>
        </w:rPr>
        <w:t xml:space="preserve">(1) </w:t>
      </w:r>
      <w:r>
        <w:t>Der Hersteller übernimmt die Produkthaftung für Schäden, die auf Konstruktions-, Herstellungs- oder Instruktionsfehlern beruhen. Der Distributor haftet für Schäden, die durch unsachgemäße Lagerung, Transport oder Handhabung entstanden sind.</w:t>
      </w:r>
    </w:p>
    <w:p>
      <w:r>
        <w:rPr>
          <w:b/>
        </w:rPr>
        <w:t xml:space="preserve">(2) </w:t>
      </w:r>
      <w:r>
        <w:t>Bei Rückrufmaßnahmen (Recalls) koordiniert der Hersteller alle Maßnahmen. Der Distributor führt die Rückrufmaßnahmen im Vertragsgebiet durch und erstattet dem Hersteller vollständige Bericht über alle betroffenen Einheiten und kontaktierten Kunden.</w:t>
      </w:r>
    </w:p>
    <w:p>
      <w:r>
        <w:rPr>
          <w:b/>
        </w:rPr>
        <w:t xml:space="preserve">(3) </w:t>
      </w:r>
      <w:r>
        <w:t>Der Distributor unterhält eine eigene Produkthaftpflichtversicherung mit einer Mindestdeckungssumme von EUR 10.000.000 je Schadensfall und stellt dem Hersteller auf Verlangen eine Kopie des Versicherungsscheins zur Verfügung.</w:t>
      </w:r>
    </w:p>
    <w:p>
      <w:r>
        <w:rPr>
          <w:b/>
        </w:rPr>
        <w:t xml:space="preserve">(4) </w:t>
      </w:r>
      <w:r>
        <w:t>Der Distributor stellt den Hersteller von allen Ansprüchen Dritter frei, die auf schuldhaftem Verhalten des Distributors beruhen, insbesondere auf unsachgemäßer Lagerung, falschem Transport oder unzulässigen Produktveränderungen.</w:t>
      </w:r>
    </w:p>
    <w:p>
      <w:pPr>
        <w:pStyle w:val="Heading3"/>
      </w:pPr>
      <w:r>
        <w:t>§ 8 Qualitätssicherung und Audits</w:t>
      </w:r>
    </w:p>
    <w:p>
      <w:r>
        <w:rPr>
          <w:b/>
        </w:rPr>
        <w:t xml:space="preserve">(1) </w:t>
      </w:r>
      <w:r>
        <w:t>Der Distributor verpflichtet sich, ein Qualitätsmanagementsystem gemäß ISO 13485:2016 für die distributionsspezifischen Tätigkeiten zu unterhalten und auf Anfrage nachzuweisen.</w:t>
      </w:r>
    </w:p>
    <w:p>
      <w:r>
        <w:rPr>
          <w:b/>
        </w:rPr>
        <w:t xml:space="preserve">(2) </w:t>
      </w:r>
      <w:r>
        <w:t>Der Hersteller ist berechtigt, beim Distributor einmal jährlich (und bei begründetem Anlass auch außerordentlich) Qualitätsaudits durchzuführen. Der Distributor ist verpflichtet, die Auditoren zu empfangen und alle relevanten Unterlagen und Informationen bereitzustellen.</w:t>
      </w:r>
    </w:p>
    <w:p>
      <w:r>
        <w:rPr>
          <w:b/>
        </w:rPr>
        <w:t xml:space="preserve">(3) </w:t>
      </w:r>
      <w:r>
        <w:t>Festgestellte Abweichungen sind in einem CAPA-Plan (Corrective and Preventive Action) festzuhalten, der innerhalb von 30 Tagen nach Audit-Abschluss vorzulegen ist.</w:t>
      </w:r>
    </w:p>
    <w:p>
      <w:r>
        <w:rPr>
          <w:b/>
        </w:rPr>
        <w:t xml:space="preserve">(4) </w:t>
      </w:r>
      <w:r>
        <w:t>Der Distributor verpflichtet sich, Schulungen des Herstellers für das eigene Vertriebspersonal zu ermöglichen und sicherzustellen, dass Mitarbeiter, die Medizinprodukte verkaufen, über angemessene medizinische und technische Kenntnisse verfügen (Art. 14 Abs. 2 MDR).</w:t>
      </w:r>
    </w:p>
    <w:p>
      <w:pPr>
        <w:pStyle w:val="Heading3"/>
      </w:pPr>
      <w:r>
        <w:t>§ 9 Geistiges Eigentum und Marken</w:t>
      </w:r>
    </w:p>
    <w:p>
      <w:r>
        <w:rPr>
          <w:b/>
        </w:rPr>
        <w:t xml:space="preserve">(1) </w:t>
      </w:r>
      <w:r>
        <w:t>Der Hersteller gewährt dem Distributor eine nicht-ausschließliche, nicht-übertragbare Lizenz zur Nutzung der Marken, Logos und sonstigen Kennzeichen des Herstellers ausschließlich für den Vertrieb der Produkte im Vertragsgebiet.</w:t>
      </w:r>
    </w:p>
    <w:p>
      <w:r>
        <w:rPr>
          <w:b/>
        </w:rPr>
        <w:t xml:space="preserve">(2) </w:t>
      </w:r>
      <w:r>
        <w:t>Der Distributor ist nicht berechtigt, Änderungen an Produkten, Verpackungen, Etiketten oder Marketingmaterialien vorzunehmen, es sei denn, der Hersteller hat schriftlich zugestimmt. Das gilt insbesondere für Übersetzungen der Gebrauchsanweisung (IFU).</w:t>
      </w:r>
    </w:p>
    <w:p>
      <w:r>
        <w:rPr>
          <w:b/>
        </w:rPr>
        <w:t xml:space="preserve">(3) </w:t>
      </w:r>
      <w:r>
        <w:t>Alle Rechte des geistigen Eigentums verbleiben beim Hersteller. Mit Beendigung des Vertrags erlöschen alle Lizenzrechte des Distributors.</w:t>
      </w:r>
    </w:p>
    <w:p>
      <w:pPr>
        <w:pStyle w:val="Heading3"/>
      </w:pPr>
      <w:r>
        <w:t>§ 10 Vertraulichkeit</w:t>
      </w:r>
    </w:p>
    <w:p>
      <w:r>
        <w:rPr>
          <w:b/>
        </w:rPr>
        <w:t xml:space="preserve">(1) </w:t>
      </w:r>
      <w:r>
        <w:t>Beide Parteien verpflichten sich, alle vertraulichen Informationen der anderen Partei streng vertraulich zu behandeln und Dritten gegenüber nicht zu offenbaren. Vertraulich sind insbesondere: Preislisten, Produktentwicklungen, klinische Daten, Kundenlisten und Geschäftsstrategien.</w:t>
      </w:r>
    </w:p>
    <w:p>
      <w:r>
        <w:rPr>
          <w:b/>
        </w:rPr>
        <w:t xml:space="preserve">(2) </w:t>
      </w:r>
      <w:r>
        <w:t>Die Vertraulichkeitspflicht gilt für einen Zeitraum von 5 Jahren nach Beendigung dieses Vertrags fort.</w:t>
      </w:r>
    </w:p>
    <w:p>
      <w:r>
        <w:rPr>
          <w:b/>
        </w:rPr>
        <w:t xml:space="preserve">(3) </w:t>
      </w:r>
      <w:r>
        <w:t>Von der Vertraulichkeitspflicht ausgenommen sind Informationen, die (a) allgemein bekannt sind, (b) ohne Verletzung dieses Vertrags bekannt geworden sind, oder (c) von einem Dritten ohne Vertraulichkeitsverpflichtung mitgeteilt wurden.</w:t>
      </w:r>
    </w:p>
    <w:p>
      <w:pPr>
        <w:pStyle w:val="Heading3"/>
      </w:pPr>
      <w:r>
        <w:t>§ 11 Laufzeit und Kündigung</w:t>
      </w:r>
    </w:p>
    <w:p>
      <w:r>
        <w:rPr>
          <w:b/>
        </w:rPr>
        <w:t xml:space="preserve">(1) </w:t>
      </w:r>
      <w:r>
        <w:t>Dieser Vertrag wird für eine Laufzeit von 3 Jahren ab Unterzeichnung geschlossen. Er verlängert sich automatisch um jeweils 1 Jahr, sofern er nicht von einer Partei mit einer Frist von 6 Monaten zum Vertragsende schriftlich gekündigt wird.</w:t>
      </w:r>
    </w:p>
    <w:p>
      <w:r>
        <w:rPr>
          <w:b/>
        </w:rPr>
        <w:t xml:space="preserve">(2) </w:t>
      </w:r>
      <w:r>
        <w:t>Das Recht zur außerordentlichen Kündigung aus wichtigem Grund bleibt unberührt. Wichtige Gründe sind insbesondere: (a) Insolvenz einer Partei; (b) schwerwiegende Verletzung regulatorischer Pflichten; (c) wiederholte Verletzung von Zahlungspflichten; (d) Verletzung des Wettbewerbsverbots.</w:t>
      </w:r>
    </w:p>
    <w:p>
      <w:r>
        <w:rPr>
          <w:b/>
        </w:rPr>
        <w:t xml:space="preserve">(3) </w:t>
      </w:r>
      <w:r>
        <w:t>Bei Beendigung des Vertrags ist der Distributor verpflichtet, auf Verlangen des Herstellers den Restbestand der Produkte zu Einkaufspreisen an den Hersteller zurückzuverkaufen oder an einen vom Hersteller benannten Dritten zu übertragen.</w:t>
      </w:r>
    </w:p>
    <w:p>
      <w:r>
        <w:rPr>
          <w:b/>
        </w:rPr>
        <w:t xml:space="preserve">(4) </w:t>
      </w:r>
      <w:r>
        <w:t>Handelsvertreterausgleich: Da der Distributor als Eigenhändler tätig ist, besteht kein Handelsvertreterausgleichsanspruch gemäß § 89b HGB. Diese Regelung ist ausdrücklicher Vertragsbestandteil.</w:t>
      </w:r>
    </w:p>
    <w:p>
      <w:pPr>
        <w:pStyle w:val="Heading3"/>
      </w:pPr>
      <w:r>
        <w:t>§ 12 Haftungsbeschränkung</w:t>
      </w:r>
    </w:p>
    <w:p>
      <w:r>
        <w:rPr>
          <w:b/>
        </w:rPr>
        <w:t xml:space="preserve">(1) </w:t>
      </w:r>
      <w:r>
        <w:t>Die Haftung jeder Partei für mittelbare Schäden, entgangenen Gewinn und Folgeschäden ist auf den Betrag der im Vertragsjahr gezahlten Vergütung begrenzt, außer bei Vorsatz oder grober Fahrlässigkeit.</w:t>
      </w:r>
    </w:p>
    <w:p>
      <w:r>
        <w:rPr>
          <w:b/>
        </w:rPr>
        <w:t xml:space="preserve">(2) </w:t>
      </w:r>
      <w:r>
        <w:t>Die Gesamthaftung des Herstellers gegenüber dem Distributor in einem Vertragsjahr ist auf EUR 5.000.000 begrenzt.</w:t>
      </w:r>
    </w:p>
    <w:p>
      <w:r>
        <w:rPr>
          <w:b/>
        </w:rPr>
        <w:t xml:space="preserve">(3) </w:t>
      </w:r>
      <w:r>
        <w:t>Diese Haftungsbeschränkung gilt nicht für Ansprüche aus dem Produkthaftungsgesetz (ProdHaftG) oder anderen zwingenden gesetzlichen Regelungen.</w:t>
      </w:r>
    </w:p>
    <w:p>
      <w:pPr>
        <w:pStyle w:val="Heading3"/>
      </w:pPr>
      <w:r>
        <w:t>§ 13 Schlussbestimmungen</w:t>
      </w:r>
    </w:p>
    <w:p>
      <w:r>
        <w:rPr>
          <w:b/>
        </w:rPr>
        <w:t xml:space="preserve">(1) </w:t>
      </w:r>
      <w:r>
        <w:t>Änderungen und Ergänzungen dieses Vertrags bedürfen der Schriftform.</w:t>
      </w:r>
    </w:p>
    <w:p>
      <w:r>
        <w:rPr>
          <w:b/>
        </w:rPr>
        <w:t xml:space="preserve">(2) </w:t>
      </w:r>
      <w:r>
        <w:t>Dieser Vertrag unterliegt deutschem Recht unter Ausschluss des UN-Kaufrechts (CISG).</w:t>
      </w:r>
    </w:p>
    <w:p>
      <w:r>
        <w:rPr>
          <w:b/>
        </w:rPr>
        <w:t xml:space="preserve">(3) </w:t>
      </w:r>
      <w:r>
        <w:t>Gerichtsstand für alle Streitigkeiten aus diesem Vertrag ist München.</w:t>
      </w:r>
    </w:p>
    <w:p>
      <w:r>
        <w:rPr>
          <w:b/>
        </w:rPr>
        <w:t xml:space="preserve">(4) </w:t>
      </w:r>
      <w:r>
        <w:t>Sollten einzelne Bestimmungen dieses Vertrags unwirksam sein, bleibt die Wirksamkeit des übrigen Vertrags unberührt. Anlagen 1 (Produktliste) und 2 (Preisliste) sind integraler Bestandteil dieses Vertrags.</w:t>
      </w:r>
    </w:p>
    <w:p>
      <w:r>
        <w:br/>
        <w:t>München, den 15. Januar 2022</w:t>
        <w:br/>
        <w:br/>
        <w:t>_______________________</w:t>
        <w:tab/>
        <w:tab/>
        <w:t>_______________________</w:t>
        <w:br/>
        <w:t>Sentavia Precision GmbH</w:t>
        <w:tab/>
        <w:tab/>
        <w:tab/>
        <w:t>Siemens Healthineers AG</w:t>
        <w:br/>
        <w:t>(Hersteller)</w:t>
        <w:tab/>
        <w:tab/>
        <w:tab/>
        <w:t>(Distributor)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