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/ CONFIDENTIAL</w:t>
      </w:r>
    </w:p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– LMU Klinikum München</w:t>
      </w:r>
    </w:p>
    <w:p>
      <w:pPr>
        <w:jc w:val="center"/>
      </w:pPr>
      <w:r>
        <w:t>Sentavia Precision GmbH und LMU Klinikum München</w:t>
      </w:r>
    </w:p>
    <w:p/>
    <w:p>
      <w:pPr>
        <w:pStyle w:val="Heading3"/>
      </w:pPr>
      <w:r>
        <w:t>§ 1 Vertragsgegenstand</w:t>
      </w:r>
    </w:p>
    <w:p>
      <w:r>
        <w:rPr>
          <w:b/>
        </w:rPr>
        <w:t xml:space="preserve">(1) </w:t>
      </w:r>
      <w:r>
        <w:t>Dieser Rahmenliefervertrag regelt die Lieferung von Medizinprodukten der Sentavia Precision GmbH an die LMU Klinikum München. Er gilt für alle Bestellungen im Gültigkeitszeitraum und ersetzt alle vorherigen Einzelvereinbarungen.</w:t>
      </w:r>
    </w:p>
    <w:p>
      <w:r>
        <w:rPr>
          <w:b/>
        </w:rPr>
        <w:t xml:space="preserve">(2) </w:t>
      </w:r>
      <w:r>
        <w:t>Umfasste Produkte: Cardevio Pro (Klasse IIb (MDR Anhang VIII, Regel 10)), Ostevo Navigator (Klasse IIa (MDR Anhang VIII, Regel 7)).</w:t>
      </w:r>
    </w:p>
    <w:p>
      <w:pPr>
        <w:pStyle w:val="Heading3"/>
      </w:pPr>
      <w:r>
        <w:t>§ 2 Preise und Konditionen</w:t>
      </w:r>
    </w:p>
    <w:p>
      <w:r>
        <w:rPr>
          <w:b/>
        </w:rPr>
        <w:t xml:space="preserve">(1) </w:t>
      </w:r>
      <w:r>
        <w:t>Die vereinbarten Rahmenpreise sind in Anlage 1 festgelegt und gelten für die Laufzeit des Vertrags. Bei Abnahme von mehr als 50 Einheiten pro Produkt pro Jahr gelten gesonderte Mengenrabattstaffeln.</w:t>
      </w:r>
    </w:p>
    <w:p>
      <w:r>
        <w:rPr>
          <w:b/>
        </w:rPr>
        <w:t xml:space="preserve">(2) </w:t>
      </w:r>
      <w:r>
        <w:t>Lieferbedingungen: DDP (Delivered Duty Paid) Lieferanschrift des Kunden. Lieferzeit: 5–7 Werktage ab Auftragseingang.</w:t>
      </w:r>
    </w:p>
    <w:p>
      <w:r>
        <w:rPr>
          <w:b/>
        </w:rPr>
        <w:t xml:space="preserve">(3) </w:t>
      </w:r>
      <w:r>
        <w:t>Zahlungsziel: 45 Tage netto. Bei öffentlichen Einrichtungen gilt das Zahlungsgesetz (Gesetz zur Bekämpfung von Zahlungsverzug im Geschäftsverkehr).</w:t>
      </w:r>
    </w:p>
    <w:p>
      <w:pPr>
        <w:pStyle w:val="Heading3"/>
      </w:pPr>
      <w:r>
        <w:t>§ 3 Schulung und Service</w:t>
      </w:r>
    </w:p>
    <w:p>
      <w:r>
        <w:rPr>
          <w:b/>
        </w:rPr>
        <w:t xml:space="preserve">(1) </w:t>
      </w:r>
      <w:r>
        <w:t>Die Gesellschaft stellt für alle gelieferten Geräte eine kostenlose Erstschulung des medizinischen und technischen Personals zur Verfügung ("Einweisung gemäß MPBetreibV").</w:t>
      </w:r>
    </w:p>
    <w:p>
      <w:r>
        <w:rPr>
          <w:b/>
        </w:rPr>
        <w:t xml:space="preserve">(2) </w:t>
      </w:r>
      <w:r>
        <w:t>Wartungsverträge und erweiterte Serviceoptionen werden in einem separaten Service Level Agreement (SLA) geregelt.</w:t>
      </w:r>
    </w:p>
    <w:p>
      <w:pPr>
        <w:pStyle w:val="Heading3"/>
      </w:pPr>
      <w:r>
        <w:t>§ 4 Vigilanz und PMS</w:t>
      </w:r>
    </w:p>
    <w:p>
      <w:r>
        <w:rPr>
          <w:b/>
        </w:rPr>
        <w:t xml:space="preserve">(1) </w:t>
      </w:r>
      <w:r>
        <w:t>Der Kunde verpflichtet sich, beobachtete schwerwiegende Vorkommnisse oder unerwünschte Ereignisse im Zusammenhang mit den gelieferten Produkten unverzüglich an die Gesellschaft zu melden.</w:t>
      </w:r>
    </w:p>
    <w:p>
      <w:r>
        <w:rPr>
          <w:b/>
        </w:rPr>
        <w:t xml:space="preserve">(2) </w:t>
      </w:r>
      <w:r>
        <w:t>Der Kunde wirkt auf Anfrage bei Post-Market-Surveillance-Aktivitäten (PMS) mit, insbesondere bei klinischen Bewertungen (PMCF) und der Erhebung von Anwenderdaten.</w:t>
      </w:r>
    </w:p>
    <w:p>
      <w:r>
        <w:br/>
        <w:t>München, den 1. Juni 2022</w:t>
        <w:br/>
        <w:br/>
        <w:t>_______________________</w:t>
        <w:tab/>
        <w:tab/>
        <w:t>_______________________</w:t>
        <w:br/>
        <w:t>Sentavia Precision GmbH</w:t>
        <w:tab/>
        <w:tab/>
        <w:tab/>
        <w:t>LMU Klinikum München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