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Liefervertrag und Qualitätssicherungsvereinbarung</w:t>
      </w:r>
    </w:p>
    <w:p>
      <w:pPr>
        <w:jc w:val="center"/>
      </w:pPr>
      <w:r>
        <w:t>Sentavia Precision GmbH und Medi-Tec Supply GmbH</w:t>
      </w:r>
    </w:p>
    <w:p/>
    <w:p>
      <w:r>
        <w:t>LIEFERVERTRAG UND QUALITÄTSSICHERUNGSVEREINBARUNG (QSV)</w:t>
        <w:br/>
        <w:br/>
        <w:t>zwischen</w:t>
        <w:br/>
        <w:br/>
        <w:t>Sentavia Precision GmbH, Freimannstraße 45, 80939 München, HRB 218934</w:t>
        <w:br/>
        <w:t>– nachfolgend "Auftraggeber" (AG) –</w:t>
        <w:br/>
        <w:br/>
        <w:t>und</w:t>
        <w:br/>
        <w:br/>
        <w:t>Medi-Tec Supply GmbH</w:t>
        <w:br/>
        <w:t>– nachfolgend "Lieferant" (LI) –</w:t>
        <w:br/>
        <w:br/>
        <w:t>Gegenstand dieser Vereinbarung ist die Lieferung von Medizinische Verbrauchsmaterialien und Sterilverpackungen sowie die Regelung der damit verbundenen Qualitätssicherungsanforderungen.</w:t>
        <w:br/>
        <w:br/>
        <w:t>Präambel: Der AG betreibt ein zertifiziertes Qualitätsmanagementsystem nach DIN EN ISO 13485:2016 und ist nach EU-MDR 2017/745 sowie IVDR 2017/746 als Hersteller von Medizinprodukten zertifiziert. Der LI ist ein Lieferant, dessen Produkte direkt oder indirekt in Medizinprodukte einfließen. Beide Parteien erkennen die besondere Bedeutung von Qualität, Sicherheit und Rückverfolgbarkeit in der Medizintechnik an.</w:t>
      </w:r>
    </w:p>
    <w:p>
      <w:pPr>
        <w:pStyle w:val="Heading3"/>
      </w:pPr>
      <w:r>
        <w:t>§ 1 Vertragsgegenstand und Lieferbedingungen</w:t>
      </w:r>
    </w:p>
    <w:p>
      <w:r>
        <w:rPr>
          <w:b/>
        </w:rPr>
        <w:t xml:space="preserve">(1) </w:t>
      </w:r>
      <w:r>
        <w:t>Der LI liefert dem AG die in Anlage 1 spezifizierten Medizinische Verbrauchsmaterialien und Sterilverpackungen in der dort beschriebenen Qualität und Menge. Die Lieferungen erfolgen gemäß den Abrufbestellungen des AG zu den vereinbarten Konditionen.</w:t>
      </w:r>
    </w:p>
    <w:p>
      <w:r>
        <w:rPr>
          <w:b/>
        </w:rPr>
        <w:t xml:space="preserve">(2) </w:t>
      </w:r>
      <w:r>
        <w:t>Lieferbedingungen: DDP (Incoterms® 2020) an die Fertigungsadresse des AG. Lieferzeit: 14 Werktage nach Bestelleingang.</w:t>
      </w:r>
    </w:p>
    <w:p>
      <w:r>
        <w:rPr>
          <w:b/>
        </w:rPr>
        <w:t xml:space="preserve">(3) </w:t>
      </w:r>
      <w:r>
        <w:t>Der LI ist verpflichtet, den AG unverzüglich zu informieren, wenn er Lieferengpässe, Kapazitätsprobleme oder Qualitätsprobleme erkennt, die die vereinbarte Lieferung beeinträchtigen könnten. Eine Vorwarnzeit von mindestens 8 Wochen ist einzuhalten.</w:t>
      </w:r>
    </w:p>
    <w:p>
      <w:pPr>
        <w:pStyle w:val="Heading3"/>
      </w:pPr>
      <w:r>
        <w:t>§ 2 Qualitätsanforderungen</w:t>
      </w:r>
    </w:p>
    <w:p>
      <w:r>
        <w:rPr>
          <w:b/>
        </w:rPr>
        <w:t xml:space="preserve">(1) </w:t>
      </w:r>
      <w:r>
        <w:t>Der LI muss ein QMS gemäß DIN EN ISO 13485:2016 unterhalten und dies durch eine gültige Zertifizierung nachweisen. Zertifikate sind dem AG vor Beginn der Liefertätigkeit und bei jeder Erneuerung unaufgefordert zu übersenden.</w:t>
      </w:r>
    </w:p>
    <w:p>
      <w:r>
        <w:rPr>
          <w:b/>
        </w:rPr>
        <w:t xml:space="preserve">(2) </w:t>
      </w:r>
      <w:r>
        <w:t>Die Produkte müssen den in Anlage 1 festgelegten Spezifikationen, Zeichnungen und Normen entsprechen. Abweichungen bedürfen einer schriftlichen Genehmigung des AG (Concession Request).</w:t>
      </w:r>
    </w:p>
    <w:p>
      <w:r>
        <w:rPr>
          <w:b/>
        </w:rPr>
        <w:t xml:space="preserve">(3) </w:t>
      </w:r>
      <w:r>
        <w:t>Der LI führt für jede Lieferung eine Produktionsprüfung durch und stellt dem AG Prüfzertifikate (CoC – Certificate of Conformance) bei. Bei kritischen Komponenten werden zusätzliche Materialzertifikate (CoA – Certificate of Analysis) verlangt.</w:t>
      </w:r>
    </w:p>
    <w:p>
      <w:r>
        <w:rPr>
          <w:b/>
        </w:rPr>
        <w:t xml:space="preserve">(4) </w:t>
      </w:r>
      <w:r>
        <w:t>Change Notification: Der LI verpflichtet sich, den AG mindestens 6 Monate vor jeder geplanten Änderung (Produkt, Prozess, Standort, Material) schriftlich zu informieren (Supplier Change Notification). Änderungen ohne Zustimmung des AG können zur Kündigung dieses Vertrags führen.</w:t>
      </w:r>
    </w:p>
    <w:p>
      <w:pPr>
        <w:pStyle w:val="Heading3"/>
      </w:pPr>
      <w:r>
        <w:t>§ 3 Rückverfolgbarkeit</w:t>
      </w:r>
    </w:p>
    <w:p>
      <w:r>
        <w:rPr>
          <w:b/>
        </w:rPr>
        <w:t xml:space="preserve">(1) </w:t>
      </w:r>
      <w:r>
        <w:t>Der LI stellt sicher, dass alle gelieferten Produkte eindeutig mit Lot-Nummern oder Seriennummern gekennzeichnet sind, die eine vollständige Rückverfolgbarkeit bis auf Rohmaterialien und Vorlieferantenebene ermöglichen.</w:t>
      </w:r>
    </w:p>
    <w:p>
      <w:r>
        <w:rPr>
          <w:b/>
        </w:rPr>
        <w:t xml:space="preserve">(2) </w:t>
      </w:r>
      <w:r>
        <w:t>Rückverfolgbarkeitsdaten und Produktionsdokumentationen sind vom LI für mindestens 15 Jahre nach dem letzten Inverkehrbringen des zugehörigen Medizinprodukts aufzubewahren. Bei Einstellung der Geschäftstätigkeit sind diese Daten an den AG zu übertragen.</w:t>
      </w:r>
    </w:p>
    <w:p>
      <w:pPr>
        <w:pStyle w:val="Heading3"/>
      </w:pPr>
      <w:r>
        <w:t>§ 4 Audits und Inspektionen</w:t>
      </w:r>
    </w:p>
    <w:p>
      <w:r>
        <w:rPr>
          <w:b/>
        </w:rPr>
        <w:t xml:space="preserve">(1) </w:t>
      </w:r>
      <w:r>
        <w:t>Der AG ist berechtigt, beim LI Lieferantenaudits gemäß ISO 19011 durchzuführen, einmal jährlich angekündigt und bei begründetem Verdacht auch unangekündigt. Der LI kooperiert vollständig und stellt alle erforderlichen Unterlagen bereit.</w:t>
      </w:r>
    </w:p>
    <w:p>
      <w:r>
        <w:rPr>
          <w:b/>
        </w:rPr>
        <w:t xml:space="preserve">(2) </w:t>
      </w:r>
      <w:r>
        <w:t>Auditfeststellungen sind in einem gemeinsamen CAPA-Plan zu dokumentieren. Der LI ist verpflichtet, Maßnahmen zu kritischen Findings innerhalb von 30 Tagen und zu anderen Findings innerhalb von 90 Tagen umzusetzen.</w:t>
      </w:r>
    </w:p>
    <w:p>
      <w:pPr>
        <w:pStyle w:val="Heading3"/>
      </w:pPr>
      <w:r>
        <w:t>§ 5 Geheimhaltung und Exklusivität</w:t>
      </w:r>
    </w:p>
    <w:p>
      <w:r>
        <w:rPr>
          <w:b/>
        </w:rPr>
        <w:t xml:space="preserve">(1) </w:t>
      </w:r>
      <w:r>
        <w:t>Der LI verpflichtet sich, alle technischen Informationen und Spezifikationen des AG streng vertraulich zu behandeln und ausschließlich für die Erfüllung dieses Vertrags zu verwenden.</w:t>
      </w:r>
    </w:p>
    <w:p>
      <w:r>
        <w:rPr>
          <w:b/>
        </w:rPr>
        <w:t xml:space="preserve">(2) </w:t>
      </w:r>
      <w:r>
        <w:t>Der LI entwickelt auf Basis der technischen Informationen des AG keine eigenen Produkte und beliefert keine Wettbewerber des AG mit vergleichbaren Produkten, ohne vorherige schriftliche Zustimmung des AG.</w:t>
      </w:r>
    </w:p>
    <w:p>
      <w:pPr>
        <w:pStyle w:val="Heading3"/>
      </w:pPr>
      <w:r>
        <w:t>§ 6 Haftung und Produkthaftung</w:t>
      </w:r>
    </w:p>
    <w:p>
      <w:r>
        <w:rPr>
          <w:b/>
        </w:rPr>
        <w:t xml:space="preserve">(1) </w:t>
      </w:r>
      <w:r>
        <w:t>Der LI haftet für alle Schäden, die durch mangelhafte Lieferungen entstehen, einschließlich der Kosten von Produktrückrufen, soweit der Mangel beim LI liegt. Die Haftung umfasst auch Folgekosten aus der EU-Produkthaftungsrichtlinie.</w:t>
      </w:r>
    </w:p>
    <w:p>
      <w:r>
        <w:rPr>
          <w:b/>
        </w:rPr>
        <w:t xml:space="preserve">(2) </w:t>
      </w:r>
      <w:r>
        <w:t>Der LI unterhält eine Produkthaftpflichtversicherung mit einer Deckungssumme von mindestens EUR 5.000.000 je Schadensfall und legt dem AG jährlich den aktuellen Versicherungsnachweis vor.</w:t>
      </w:r>
    </w:p>
    <w:p>
      <w:r>
        <w:br/>
        <w:t>München, den 1. Juni 2022</w:t>
        <w:br/>
        <w:br/>
        <w:t>_______________________</w:t>
        <w:tab/>
        <w:tab/>
        <w:t>_______________________</w:t>
        <w:br/>
        <w:t>Sentavia Precision GmbH</w:t>
        <w:tab/>
        <w:tab/>
        <w:tab/>
        <w:t>Medi-Tec Supply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