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Qualitätshandbuch</w:t>
      </w:r>
    </w:p>
    <w:p>
      <w:pPr>
        <w:jc w:val="center"/>
      </w:pPr>
      <w:r>
        <w:t>Version 5.0 | Zertifikat-Nr.: Q1 20 12 87024 012</w:t>
      </w:r>
    </w:p>
    <w:p/>
    <w:p>
      <w:r>
        <w:t>Das vorliegende Qualitätshandbuch (QHB) beschreibt das Qualitätsmanagementsystem (QMS) der Sentavia Precision GmbH. Es gilt für alle Standorte und Prozesse der Gesellschaft.</w:t>
        <w:br/>
        <w:br/>
        <w:t>Zertifizierungsstatus: DIN EN ISO 13485:2016, Zertifikat-Nr. Q1 20 12 87024 012, ausgestellt durch TÜV SÜD Product Service GmbH.</w:t>
      </w:r>
    </w:p>
    <w:p>
      <w:pPr>
        <w:pStyle w:val="Heading3"/>
      </w:pPr>
      <w:r>
        <w:t>1. Unternehmensprofil und Qualitätspolitik</w:t>
      </w:r>
    </w:p>
    <w:p>
      <w:r>
        <w:t>Sentavia Precision GmbH entwickelt, produziert und vertreibt Medizinprodukte der Klassen IIa und IIb sowie In-vitro-Diagnostika der Klasse C. Das Stammkapital beträgt 500.000 EUR. Sitz der Gesellschaft: Freimannstraße 45, 80939 München.</w:t>
      </w:r>
    </w:p>
    <w:p>
      <w:r>
        <w:t>Qualitätspolitik: Wir entwickeln und fertigen Medizinprodukte höchster Qualität, Sicherheit und Wirksamkeit. Unsere Qualitätspolitik verpflichtet uns zur kontinuierlichen Verbesserung aller Prozesse sowie zur vollständigen Einhaltung aller regulatorischen Anforderungen.</w:t>
      </w:r>
    </w:p>
    <w:p>
      <w:pPr>
        <w:pStyle w:val="Heading3"/>
      </w:pPr>
      <w:r>
        <w:t>2. Geltungsbereich des QMS</w:t>
      </w:r>
    </w:p>
    <w:p>
      <w:r>
        <w:t>Das QMS der Sentavia Precision GmbH umfasst: Design und Entwicklung von Medizinprodukten; Fertigung und Prüfung; Vertrieb und After-Sales-Service; Regulatorische Tätigkeiten einschließlich klinischer Bewertung und Post-Market Surveillance.</w:t>
      </w:r>
    </w:p>
    <w:p>
      <w:r>
        <w:t>Ausschlüsse: Keine wesentlichen Ausschlüsse vom Anwendungsbereich der ISO 13485:2016.</w:t>
      </w:r>
    </w:p>
    <w:p>
      <w:pPr>
        <w:pStyle w:val="Heading3"/>
      </w:pPr>
      <w:r>
        <w:t>3. Normative Grundlagen</w:t>
      </w:r>
    </w:p>
    <w:p>
      <w:r>
        <w:t>Das QMS entspricht den Anforderungen der DIN EN ISO 13485:2016, der EU-MDR 2017/745, der EU-IVDR 2017/746 sowie allen einschlägigen harmonisierten Normen (IEC 60601-1, ISO 14971:2019, IEC 62304:2006+A1, ISO 10993-1:2018).</w:t>
      </w:r>
    </w:p>
    <w:p>
      <w:pPr>
        <w:pStyle w:val="Heading3"/>
      </w:pPr>
      <w:r>
        <w:t>4. Prozesslandschaft</w:t>
      </w:r>
    </w:p>
    <w:p>
      <w:r>
        <w:t>Das QMS ist prozessorientiert aufgebaut. Hauptprozesse: Entwicklung (Design Control), Produktion und Prüfung, PMS und Vigilanz, Lieferantenmanagement, CAPA, Interne Audits, Management Review. Unterstützungsprozesse: HR, IT, Compliance, Finanzen.</w:t>
      </w:r>
    </w:p>
    <w:p>
      <w:pPr>
        <w:pStyle w:val="Heading3"/>
      </w:pPr>
      <w:r>
        <w:t>5. Verantwortung der Leitung</w:t>
      </w:r>
    </w:p>
    <w:p>
      <w:r>
        <w:t>Die Geschäftsführung (Dr. Katharina Berger, Dr. Marcus Vogt, Thomas Müller) trägt die Gesamtverantwortung für die Aufrechterhaltung und Weiterentwicklung des QMS. Die Verantwortliche Person gemäß Art. 15 MDR ist Dipl.-Ing. Stefan Hoffmann.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