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Pruefarztvertrag – Ostevo Navigator – LMU Klinikum (Muenchen)</w:t>
      </w:r>
    </w:p>
    <w:p>
      <w:pPr>
        <w:jc w:val="center"/>
      </w:pPr>
      <w:r>
        <w:t>Klinische Pruefung gemaess EU 2017/745 (MDR) / Studien-ID BTP-OFN-CT-2023-004</w:t>
      </w:r>
    </w:p>
    <w:p/>
    <w:p>
      <w:pPr>
        <w:pStyle w:val="Heading3"/>
      </w:pPr>
      <w:r>
        <w:t>Parteien</w:t>
      </w:r>
    </w:p>
    <w:p>
      <w:r>
        <w:t>Sponsor: Sentavia Precision GmbH, vertreten durch Dr. Annika Schmidt (CMO).</w:t>
      </w:r>
    </w:p>
    <w:p>
      <w:r>
        <w:t>Pruefstelle / Pruefer: LMU Klinikum Muenchen, Klinik fuer Orthopaedie und Unfallchirurgie Standort Grosshadern, Marchioninistrasse 15, 81377 Muenchen, vertreten durch Prof. Dr. med. Volkmar Jansson (Pruefarzt:in).</w:t>
      </w:r>
    </w:p>
    <w:p>
      <w:pPr>
        <w:pStyle w:val="Heading3"/>
      </w:pPr>
      <w:r>
        <w:t>Pruefgegenstand</w:t>
      </w:r>
    </w:p>
    <w:p>
      <w:r>
        <w:t>Klinische Pruefung des Medizinprodukts Ostevo Navigator (Hersteller: Sentavia Precision GmbH; CE 0123-BTP). Studientyp: prospektive, multi-zentrische, kontrollierte Pruefung gemaess ISO 14155:2020 und MDR Anhang XV. Vorgesehene Patientenanzahl an dieser Pruefstelle: 30; Gesamt-Studienkohorte: 360. Studiendauer: 18 Monate ab erstem Patienteneinschluss.</w:t>
      </w:r>
    </w:p>
    <w:p>
      <w:pPr>
        <w:pStyle w:val="Heading3"/>
      </w:pPr>
      <w:r>
        <w:t>Pflichten des/der Pruefenden</w:t>
      </w:r>
    </w:p>
    <w:p>
      <w:pPr>
        <w:pStyle w:val="Heading4"/>
      </w:pPr>
      <w:r>
        <w:t>§ 1 Allgemeine Pflichten</w:t>
      </w:r>
    </w:p>
    <w:p>
      <w:r>
        <w:rPr>
          <w:b/>
        </w:rPr>
        <w:t xml:space="preserve">(1) </w:t>
      </w:r>
      <w:r>
        <w:t>Durchfuehrung der Pruefung gemaess dem Pruefplan (Anlage 1), GCP-Grundsaetzen ICH E6 (R2), ISO 14155:2020 sowie der MDR (EU 2017/745) und nationalen Gesetzen (MPDG).</w:t>
      </w:r>
    </w:p>
    <w:p>
      <w:r>
        <w:rPr>
          <w:b/>
        </w:rPr>
        <w:t xml:space="preserve">(2) </w:t>
      </w:r>
      <w:r>
        <w:t>Vorlage der Studienunterlagen bei der Ethikkommission der Bayerischen Landesaerztekammer und beim BfArM (Bundesinstitut fuer Arzneimittel und Medizinprodukte).</w:t>
      </w:r>
    </w:p>
    <w:p>
      <w:pPr>
        <w:pStyle w:val="Heading4"/>
      </w:pPr>
      <w:r>
        <w:t>§ 2 Aufklaerung und Einwilligung</w:t>
      </w:r>
    </w:p>
    <w:p>
      <w:r>
        <w:rPr>
          <w:b/>
        </w:rPr>
        <w:t xml:space="preserve">(1) </w:t>
      </w:r>
      <w:r>
        <w:t>Patient:innen sind vor Einschluss in die Studie aufzuklaeren (schriftlich, unter Verwendung der genehmigten Patienteninformation, Anlage 3). Schriftliche informierte Einwilligung (IC) ist Voraussetzung des Studieneinschlusses.</w:t>
      </w:r>
    </w:p>
    <w:p>
      <w:pPr>
        <w:pStyle w:val="Heading4"/>
      </w:pPr>
      <w:r>
        <w:t>§ 3 Daten und Dokumentation</w:t>
      </w:r>
    </w:p>
    <w:p>
      <w:r>
        <w:rPr>
          <w:b/>
        </w:rPr>
        <w:t xml:space="preserve">(1) </w:t>
      </w:r>
      <w:r>
        <w:t>Erfassung der Studiendaten im elektronischen Case Report Form (eCRF) in REDCap (Clinical Database der BTP). Saemtliche Source Documents (z. B. KIS-Daten) sind verfuegbar zu halten fuer SAE/AE-Bewertung sowie fuer Audits / Inspections.</w:t>
      </w:r>
    </w:p>
    <w:p>
      <w:r>
        <w:rPr>
          <w:b/>
        </w:rPr>
        <w:t xml:space="preserve">(2) </w:t>
      </w:r>
      <w:r>
        <w:t>Aufbewahrung der Studiendokumente fuer 15 Jahre nach Studienende.</w:t>
      </w:r>
    </w:p>
    <w:p>
      <w:pPr>
        <w:pStyle w:val="Heading4"/>
      </w:pPr>
      <w:r>
        <w:t>§ 4 Adverse Events / Vigilance</w:t>
      </w:r>
    </w:p>
    <w:p>
      <w:r>
        <w:rPr>
          <w:b/>
        </w:rPr>
        <w:t xml:space="preserve">(1) </w:t>
      </w:r>
      <w:r>
        <w:t>Schwerwiegende unerwuenschte Ereignisse (SAE) sind binnen 24 Stunden an die Vigilance-Stelle BTP (vigilance@sentavia-precision.de) zu melden. Geraetebezogene Vorkommnisse sind zusaetzlich gemaess MDR Artikel 87 zu erfassen.</w:t>
      </w:r>
    </w:p>
    <w:p>
      <w:pPr>
        <w:pStyle w:val="Heading3"/>
      </w:pPr>
      <w:r>
        <w:t>Honorierung</w:t>
      </w:r>
    </w:p>
    <w:p>
      <w:r>
        <w:t>Pauschalhonorar je vollstaendig abgeschlossenem Patienten-Set (eCRF, alle Visiten, Follow-up): 2200 EUR (zzgl. USt., sofern anwendbar). Auszahlung quartalsweise nach Patientenfortschritt; Endabrechnung 90 Tage nach Studienende. Reisekosten gemaess Reisekostengrundsaetzen der BTP (Bahn 1. Kl. / Hotel maximal 4-Sterne).</w:t>
      </w:r>
    </w:p>
    <w:p>
      <w:pPr>
        <w:pStyle w:val="Heading3"/>
      </w:pPr>
      <w:r>
        <w:t>Vertraulichkeit / IP</w:t>
      </w:r>
    </w:p>
    <w:p>
      <w:r>
        <w:t>Studiendaten sind vertraulich; eine Veroeffentlichung erfolgt ausschliesslich nach Abstimmung mit BTP (Lead-Autorschaft Sponsor). Eigentumsrechte an Studienergebnissen liegen beim Sponsor BTP. Patientendaten unterliegen strenger Pseudonymisierung gemaess DSGVO und nationalem Datenschutzrecht.</w:t>
      </w:r>
    </w:p>
    <w:p>
      <w:pPr>
        <w:pStyle w:val="Heading3"/>
      </w:pPr>
      <w:r>
        <w:t>Unterschriften</w:t>
      </w:r>
    </w:p>
    <w:p>
      <w:r>
        <w:t>Ort, Datum: Muenchen / 81377 Muenchen, den —</w:t>
      </w:r>
    </w:p>
    <w:p>
      <w:r>
        <w:t>_________________________            _________________________</w:t>
        <w:br/>
        <w:t>Dr. Annika Schmidt                          Prof. Dr. med. Volkmar Jansson</w:t>
        <w:br/>
        <w:t>CMO / Sponsor-Vertreter                          Hauptpruefer / Hauptpruefin</w:t>
        <w:br/>
        <w:t>Sentavia Precision GmbH                       LMU Klinikum Muenchen, Klinik fuer Orthopaedie und Unfallchirurgie Standort Grosshadern, Marchioninistrasse 15, 81377 Muenchen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