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Lizenzvertrag (In-Licensing) – Fraunhofer-Institut IPA – KI-Algorithmus Cardevio</w:t>
      </w:r>
    </w:p>
    <w:p>
      <w:pPr>
        <w:jc w:val="center"/>
      </w:pPr>
      <w:r>
        <w:t>Patent EP 3 421 089 B1 – Auswertelogik EKG-Mehrkanal</w:t>
      </w:r>
    </w:p>
    <w:p/>
    <w:p>
      <w:pPr>
        <w:pStyle w:val="Heading3"/>
      </w:pPr>
      <w:r>
        <w:t>Parteien</w:t>
      </w:r>
    </w:p>
    <w:p>
      <w:r>
        <w:t>Lizenzgeberin: Fraunhofer-Gesellschaft zur Foerderung der angewandten Forschung e.V., Hansastrasse 27c, 80686 Muenchen (vertreten durch das Fraunhofer-Institut IPA, Stuttgart).</w:t>
      </w:r>
    </w:p>
    <w:p>
      <w:r>
        <w:t>Lizenznehmerin: Sentavia Precision GmbH.</w:t>
      </w:r>
    </w:p>
    <w:p>
      <w:pPr>
        <w:pStyle w:val="Heading3"/>
      </w:pPr>
      <w:r>
        <w:t>Lizenzgegenstand</w:t>
      </w:r>
    </w:p>
    <w:p>
      <w:r>
        <w:t>Exklusive (nicht ausschliessliche, aber bevorrechtigte) Lizenz an dem Patent EP 3 421 089 B1 und allen nationalen Validierungen (DE, FR, GB, IT, ES, NL, BE, AT, CH) sowie korrespondierenden internationalen Anmeldungen (US 10 482 105 B2; CN 109 245 088 B). Lizenzfeld: Anwendung in kardiologischer Diagnostik (Klasse IIb MDR / FDA Class III).</w:t>
      </w:r>
    </w:p>
    <w:p>
      <w:pPr>
        <w:pStyle w:val="Heading3"/>
      </w:pPr>
      <w:r>
        <w:t>Lizenzgebuehren</w:t>
      </w:r>
    </w:p>
    <w:p>
      <w:pPr>
        <w:pStyle w:val="Heading4"/>
      </w:pPr>
      <w:r>
        <w:t>§ 1 Initialgebuehr</w:t>
      </w:r>
    </w:p>
    <w:p>
      <w:r>
        <w:rPr>
          <w:b/>
        </w:rPr>
        <w:t xml:space="preserve">(1) </w:t>
      </w:r>
      <w:r>
        <w:t>Einmalige Initialgebuehr in Hoehe von 320.000 EUR (zahlbar binnen 30 Tagen nach Vertragsunterzeichnung).</w:t>
      </w:r>
    </w:p>
    <w:p>
      <w:pPr>
        <w:pStyle w:val="Heading4"/>
      </w:pPr>
      <w:r>
        <w:t>§ 2 Lizenz-Royalties</w:t>
      </w:r>
    </w:p>
    <w:p>
      <w:r>
        <w:rPr>
          <w:b/>
        </w:rPr>
        <w:t xml:space="preserve">(1) </w:t>
      </w:r>
      <w:r>
        <w:t>Laufende Lizenzgebuehren in Hoehe von 4,5 % vom Netto-Verkaufspreis der lizenzgeschuetzten Produkte (Cardevio Pro und ggfs. Nachfolgeprodukte).</w:t>
      </w:r>
    </w:p>
    <w:p>
      <w:r>
        <w:rPr>
          <w:b/>
        </w:rPr>
        <w:t xml:space="preserve">(2) </w:t>
      </w:r>
      <w:r>
        <w:t>Mindestlizenzgebuehren: Jahr 1 = 80.000 EUR; ab Jahr 2 = 200.000 EUR p. a.</w:t>
      </w:r>
    </w:p>
    <w:p>
      <w:r>
        <w:rPr>
          <w:b/>
        </w:rPr>
        <w:t xml:space="preserve">(3) </w:t>
      </w:r>
      <w:r>
        <w:t>Verguetungs-Cap bei 1,2 Mio. EUR p. a. (jaehrlich); bei Ueberschreiten wird der Royalty-Satz auf 2,5 % reduziert.</w:t>
      </w:r>
    </w:p>
    <w:p>
      <w:pPr>
        <w:pStyle w:val="Heading4"/>
      </w:pPr>
      <w:r>
        <w:t>§ 3 Berichterstattung</w:t>
      </w:r>
    </w:p>
    <w:p>
      <w:r>
        <w:rPr>
          <w:b/>
        </w:rPr>
        <w:t xml:space="preserve">(1) </w:t>
      </w:r>
      <w:r>
        <w:t>Halbjaehrlich vorzulegende Lizenzabrechnung; Pruefungsrecht der Lizenzgeberin (max. 1x p. a., Vorlauf 30 Tage). Aufbewahrungsfrist der Verkaufsunterlagen: 5 Jahre.</w:t>
      </w:r>
    </w:p>
    <w:p>
      <w:pPr>
        <w:pStyle w:val="Heading3"/>
      </w:pPr>
      <w:r>
        <w:t>Patenterhaltung</w:t>
      </w:r>
    </w:p>
    <w:p>
      <w:r>
        <w:t>Lizenzgeberin haelt die Patente waehrend der Lizenzlaufzeit aufrecht (Jahresgebuehren). Verteidigung bei Verletzung: vorrangig Lizenznehmerin (mit Information Lizenzgeberin); Kostenteilung nach Vereinbarung.</w:t>
      </w:r>
    </w:p>
    <w:p>
      <w:pPr>
        <w:pStyle w:val="Heading3"/>
      </w:pPr>
      <w:r>
        <w:t>Laufzeit / Beendigung</w:t>
      </w:r>
    </w:p>
    <w:p>
      <w:r>
        <w:t>Laufzeit bis zum Ablauf der lokalen Patente (laengste Schutzfrist: 2034). Bei wesentlichen Vertragsverletzungen ist eine ausserordentliche Kuendigung mit Frist 90 Tage moeglich.</w:t>
      </w:r>
    </w:p>
    <w:p>
      <w:pPr>
        <w:pStyle w:val="Heading3"/>
      </w:pPr>
      <w:r>
        <w:t>Unterschriften</w:t>
      </w:r>
    </w:p>
    <w:p>
      <w:r>
        <w:t>Ort, Datum: Muenchen / Stuttgart, den 14. September 2022</w:t>
      </w:r>
    </w:p>
    <w:p>
      <w:r>
        <w:t>_________________________            _________________________</w:t>
        <w:br/>
        <w:t>Dr. Katharina Berger                          Prof. Dr.-Ing. Marco Huber</w:t>
        <w:br/>
        <w:t>CEO                          Institutsleiter Fraunhofer IPA</w:t>
        <w:br/>
        <w:t>Sentavia Precision GmbH                       Fraunhofer-Gesellschaft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