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Markus Bauer</w:t>
      </w:r>
    </w:p>
    <w:p>
      <w:pPr>
        <w:jc w:val="center"/>
      </w:pPr>
      <w:r>
        <w:t>Mitarbeiter-Vereinbarung gemaess ArbnErfG / IP Assignment Agreement</w:t>
      </w:r>
    </w:p>
    <w:p/>
    <w:p>
      <w:pPr>
        <w:pStyle w:val="Heading3"/>
      </w:pPr>
      <w:r>
        <w:t>Parteien</w:t>
      </w:r>
    </w:p>
    <w:p>
      <w:r>
        <w:t>Sentavia Precision GmbH (»BTP«, Arbeitgeberin) und Markus Bauer (Arbeitnehmer:in, Abteilung F&amp;E Ostevo Navigator).</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September 2021</w:t>
      </w:r>
    </w:p>
    <w:p>
      <w:r>
        <w:t>_________________________            _________________________</w:t>
        <w:br/>
        <w:t>Dr. Marcus Vogt                          Markus Bauer</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