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Vertraulichkeitsvereinbarung (NDA) – Helmholtz Zentrum Muenchen, Deutsches Forschungszentrum fuer Gesundheit und Umwelt</w:t>
      </w:r>
    </w:p>
    <w:p>
      <w:pPr>
        <w:jc w:val="center"/>
      </w:pPr>
      <w:r>
        <w:t>Gegenseitige NDA</w:t>
      </w:r>
    </w:p>
    <w:p/>
    <w:p>
      <w:pPr>
        <w:pStyle w:val="Heading3"/>
      </w:pPr>
      <w:r>
        <w:t>Parteien</w:t>
      </w:r>
    </w:p>
    <w:p>
      <w:r>
        <w:t>1. Sentavia Precision GmbH, Freimannstrasse 45, 80939 Muenchen.</w:t>
      </w:r>
    </w:p>
    <w:p>
      <w:r>
        <w:t>2. Helmholtz Zentrum Muenchen, Deutsches Forschungszentrum fuer Gesundheit und Umwelt, Ingolstaedter Landstrasse 1, 85764 Neuherberg, vertreten durch Prof. Dr. Joerg Hennessey.</w:t>
      </w:r>
    </w:p>
    <w:p>
      <w:pPr>
        <w:pStyle w:val="Heading3"/>
      </w:pPr>
      <w:r>
        <w:t>Zweck</w:t>
      </w:r>
    </w:p>
    <w:p>
      <w:r>
        <w:t>Die Parteien beabsichtigen, Informationen im Hinblick auf Wissenschaftliche Kooperation 'Biosensorik fuer Veridiq SARS-Flex Variante B' auszutauschen. Beide Parteien sind verpflichtet, vertrauliche Informationen geheim zu halten und nur fuer den vereinbarten Zweck zu verwenden.</w:t>
      </w:r>
    </w:p>
    <w:p>
      <w:pPr>
        <w:pStyle w:val="Heading3"/>
      </w:pPr>
      <w:r>
        <w:t>Vertraulichkeitsregelungen</w:t>
      </w:r>
    </w:p>
    <w:p>
      <w:pPr>
        <w:pStyle w:val="Heading4"/>
      </w:pPr>
      <w:r>
        <w:t>§ 1 Vertrauliche Informationen</w:t>
      </w:r>
    </w:p>
    <w:p>
      <w:r>
        <w:rPr>
          <w:b/>
        </w:rPr>
        <w:t xml:space="preserve">(1) </w:t>
      </w:r>
      <w:r>
        <w:t>»Vertrauliche Informationen« umfassen alle technischen, kaufmaennischen, wissenschaftlichen und sonstigen Informationen, die im Rahmen der vorgenannten Zusammenarbeit ausgetauscht werden. Vertraulichkeit gilt unabhaengig von der Form der Offenlegung (mundliche, schriftliche, elektronische Mitteilung).</w:t>
      </w:r>
    </w:p>
    <w:p>
      <w:pPr>
        <w:pStyle w:val="Heading4"/>
      </w:pPr>
      <w:r>
        <w:t>§ 2 Geheimhaltungspflicht</w:t>
      </w:r>
    </w:p>
    <w:p>
      <w:r>
        <w:rPr>
          <w:b/>
        </w:rPr>
        <w:t xml:space="preserve">(1) </w:t>
      </w:r>
      <w:r>
        <w:t>Die empfangende Partei (i) verwendet die Informationen ausschliesslich zur Verwirklichung des oben genannten Zwecks, (ii) gibt sie nicht an Dritte weiter, (iii) wendet mindestens den Sorgfaltsstandard an, den sie auch zum Schutz eigener vertraulicher Informationen anwendet.</w:t>
      </w:r>
    </w:p>
    <w:p>
      <w:pPr>
        <w:pStyle w:val="Heading4"/>
      </w:pPr>
      <w:r>
        <w:t>§ 3 Ausnahmen</w:t>
      </w:r>
    </w:p>
    <w:p>
      <w:r>
        <w:rPr>
          <w:b/>
        </w:rPr>
        <w:t xml:space="preserve">(1) </w:t>
      </w:r>
      <w:r>
        <w:t>Nicht vertraulich sind Informationen, die zum Zeitpunkt der Offenlegung allgemein bekannt waren, der empfangenden Partei nachweislich vorher bekannt waren, von Dritten ohne Vertraulichkeitspflicht erhalten wurden oder unabhaengig entwickelt wurden.</w:t>
      </w:r>
    </w:p>
    <w:p>
      <w:pPr>
        <w:pStyle w:val="Heading4"/>
      </w:pPr>
      <w:r>
        <w:t>§ 4 Schutzrechte</w:t>
      </w:r>
    </w:p>
    <w:p>
      <w:r>
        <w:rPr>
          <w:b/>
        </w:rPr>
        <w:t xml:space="preserve">(1) </w:t>
      </w:r>
      <w:r>
        <w:t>Diese NDA gewaehrt keine Lizenzen oder Schutzrechte an dem geistigen Eigentum der jeweils anderen Partei. Schutzrechte bleiben beim jeweiligen Inhaber.</w:t>
      </w:r>
    </w:p>
    <w:p>
      <w:pPr>
        <w:pStyle w:val="Heading4"/>
      </w:pPr>
      <w:r>
        <w:t>§ 5 Laufzeit</w:t>
      </w:r>
    </w:p>
    <w:p>
      <w:r>
        <w:rPr>
          <w:b/>
        </w:rPr>
        <w:t xml:space="preserve">(1) </w:t>
      </w:r>
      <w:r>
        <w:t>Die Vertraulichkeitspflichten gelten waehrend der Zusammenarbeit und 5 Jahre nach deren Beendigung, spaetestens jedoch 7 Jahre nach Unterzeichnung dieser Vereinbarung.</w:t>
      </w:r>
    </w:p>
    <w:p>
      <w:pPr>
        <w:pStyle w:val="Heading4"/>
      </w:pPr>
      <w:r>
        <w:t>§ 6 Anwendbares Recht / Streitbeilegung</w:t>
      </w:r>
    </w:p>
    <w:p>
      <w:r>
        <w:rPr>
          <w:b/>
        </w:rPr>
        <w:t xml:space="preserve">(1) </w:t>
      </w:r>
      <w:r>
        <w:t>Es gilt deutsches Recht; Gerichtsstand Muenchen.</w:t>
      </w:r>
    </w:p>
    <w:p>
      <w:pPr>
        <w:pStyle w:val="Heading3"/>
      </w:pPr>
      <w:r>
        <w:t>Unterschriften</w:t>
      </w:r>
    </w:p>
    <w:p>
      <w:r>
        <w:t>Ort, Datum: Muenchen, den —</w:t>
      </w:r>
    </w:p>
    <w:p>
      <w:r>
        <w:t>_________________________            _________________________</w:t>
        <w:br/>
        <w:t>Dr. Katharina Berger                          Prof. Dr. Joerg Hennessey</w:t>
        <w:br/>
        <w:t>CEO                          Bevollmaechtigte/r</w:t>
        <w:br/>
        <w:t>Sentavia Precision GmbH                       Helmholtz Zentrum Muenchen, Deutsches Forschungszentrum fuer Gesundheit und Umwelt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