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Gewerbemietvertrag – Freimannstraße 45, München</w:t>
      </w:r>
    </w:p>
    <w:p>
      <w:pPr>
        <w:jc w:val="center"/>
      </w:pPr>
      <w:r>
        <w:t>Sentavia Precision GmbH als Mieter</w:t>
      </w:r>
    </w:p>
    <w:p/>
    <w:p>
      <w:pPr>
        <w:pStyle w:val="Heading3"/>
      </w:pPr>
      <w:r>
        <w:t>§ 1 Mietobjekt</w:t>
      </w:r>
    </w:p>
    <w:p>
      <w:r>
        <w:rPr>
          <w:b/>
        </w:rPr>
        <w:t xml:space="preserve">(1) </w:t>
      </w:r>
      <w:r>
        <w:t>Gegenstand dieses Mietvertrags sind die Räumlichkeiten in der Freimannstraße 45, 80939 München, bestehend aus: Büroflächen (ca. 2.800 m²), Laborräumen (ca. 1.200 m²), Reinraumanlage (ca. 800 m², Klasse ISO 7), Lagerräumen (ca. 500 m²).</w:t>
      </w:r>
    </w:p>
    <w:p>
      <w:r>
        <w:rPr>
          <w:b/>
        </w:rPr>
        <w:t xml:space="preserve">(2) </w:t>
      </w:r>
      <w:r>
        <w:t>Die Gesamtmietfläche beträgt ca. 5.300 m². Das Mietobjekt ist abgebildet in den Grundrissplänen gemäß Anlage 1.</w:t>
      </w:r>
    </w:p>
    <w:p>
      <w:pPr>
        <w:pStyle w:val="Heading3"/>
      </w:pPr>
      <w:r>
        <w:t>§ 2 Mietzins und Nebenkosten</w:t>
      </w:r>
    </w:p>
    <w:p>
      <w:r>
        <w:rPr>
          <w:b/>
        </w:rPr>
        <w:t xml:space="preserve">(1) </w:t>
      </w:r>
      <w:r>
        <w:t>Die monatliche Kaltmiete beträgt EUR 127.200,00 (EUR 24,00/m² × 5.300 m²) zzgl. der gesetzlichen Mehrwertsteuer. Die Miete ist jeweils zum 3. Werktag eines Monats im Voraus auf das Konto des Vermieters zu entrichten.</w:t>
      </w:r>
    </w:p>
    <w:p>
      <w:r>
        <w:rPr>
          <w:b/>
        </w:rPr>
        <w:t xml:space="preserve">(2) </w:t>
      </w:r>
      <w:r>
        <w:t>Zusätzlich zur Kaltmiete trägt der Mieter die Nebenkosten gemäß Anlage 2 (Betriebskostenabrechnung). Hierzu leistet der Mieter monatliche Vorauszahlungen von EUR 18.000,00.</w:t>
      </w:r>
    </w:p>
    <w:p>
      <w:r>
        <w:rPr>
          <w:b/>
        </w:rPr>
        <w:t xml:space="preserve">(3) </w:t>
      </w:r>
      <w:r>
        <w:t>Eine jährliche Mietanpassung gemäß VPI (Verbraucherpreisindex des Statistischen Bundesamts) ist vereinbart. Anpassungen erfolgen erstmals nach 2 Jahren Mietzeit.</w:t>
      </w:r>
    </w:p>
    <w:p>
      <w:pPr>
        <w:pStyle w:val="Heading3"/>
      </w:pPr>
      <w:r>
        <w:t>§ 3 Mietdauer und Optionen</w:t>
      </w:r>
    </w:p>
    <w:p>
      <w:r>
        <w:rPr>
          <w:b/>
        </w:rPr>
        <w:t xml:space="preserve">(1) </w:t>
      </w:r>
      <w:r>
        <w:t>Das Mietverhältnis beginnt am 1. Januar 2020 und läuft bis zum 31. Dezember 2030 (feste Laufzeit 10 Jahre).</w:t>
      </w:r>
    </w:p>
    <w:p>
      <w:r>
        <w:rPr>
          <w:b/>
        </w:rPr>
        <w:t xml:space="preserve">(2) </w:t>
      </w:r>
      <w:r>
        <w:t>Der Mieter hat das Recht, das Mietverhältnis zweimal um je 5 Jahre zu verlängern (Verlängerungsoption), sofern die Option mindestens 12 Monate vor Ablauf der jeweiligen Laufzeit schriftlich ausgeübt wird.</w:t>
      </w:r>
    </w:p>
    <w:p>
      <w:pPr>
        <w:pStyle w:val="Heading3"/>
      </w:pPr>
      <w:r>
        <w:t>§ 4 Instandhaltung und Umbau</w:t>
      </w:r>
    </w:p>
    <w:p>
      <w:r>
        <w:rPr>
          <w:b/>
        </w:rPr>
        <w:t xml:space="preserve">(1) </w:t>
      </w:r>
      <w:r>
        <w:t>Der Vermieter ist für wesentliche Instandhaltungsmaßnahmen (Dach, Fassade, technische Gebäudeausrüstung) verantwortlich. Der Mieter übernimmt die Instandhaltung der Innenräume und der mieterseits eingebrachten Einrichtungen.</w:t>
      </w:r>
    </w:p>
    <w:p>
      <w:r>
        <w:rPr>
          <w:b/>
        </w:rPr>
        <w:t xml:space="preserve">(2) </w:t>
      </w:r>
      <w:r>
        <w:t>Umbaumaßnahmen bedürfen der schriftlichen Zustimmung des Vermieters. Bei Vertragsende ist der ursprüngliche Zustand wiederherzustellen, sofern nichts anderes vereinbart.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