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  |  HRB 218934,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Leasingvertrag Pruefausruestung – Atlas Copco Industriedienstleistungen GmbH</w:t>
      </w:r>
    </w:p>
    <w:p>
      <w:pPr>
        <w:jc w:val="center"/>
      </w:pPr>
      <w:r>
        <w:t>Operating-Lease Reinraum-Pruefausruestung 2023-2028</w:t>
      </w:r>
    </w:p>
    <w:p/>
    <w:p>
      <w:pPr>
        <w:pStyle w:val="Heading3"/>
      </w:pPr>
      <w:r>
        <w:t>Parteien</w:t>
      </w:r>
    </w:p>
    <w:p>
      <w:r>
        <w:t>Leasinggeberin: Atlas Copco Industriedienstleistungen GmbH, Langemarckstrasse 35, 45141 Essen.</w:t>
      </w:r>
    </w:p>
    <w:p>
      <w:r>
        <w:t>Leasingnehmerin: Sentavia Precision GmbH.</w:t>
      </w:r>
    </w:p>
    <w:p>
      <w:pPr>
        <w:pStyle w:val="Heading3"/>
      </w:pPr>
      <w:r>
        <w:t>Leasinggegenstand</w:t>
      </w:r>
    </w:p>
    <w:p>
      <w:r>
        <w:t>Reinraum-Pruefausruestung der Reinraum-Klasse ISO 14644-1 Klasse 7 (Produktion / FAT): Helium-Lecktester Pfeiffer Smartline HL3, Roentgenpruefanlage Comet MXR (fuer Implantatpruefung), Pruefkabine fuer EMV-Pruefungen (CE Anhang II Anwendung MDR Klasse IIb), Klimakammern (4 Stueck) fuer Stresstest. Gesamtwert 1,84 Mio. EUR.</w:t>
      </w:r>
    </w:p>
    <w:p>
      <w:pPr>
        <w:pStyle w:val="Heading3"/>
      </w:pPr>
      <w:r>
        <w:t>Konditionen</w:t>
      </w:r>
    </w:p>
    <w:p>
      <w:r>
        <w:t>Leasingrate: 38.420 EUR netto monatlich; Laufzeit 60 Monate; Kaufoption am Ende Restwert 180.000 EUR (oder Verlaengerungsoption). Service-Levels: Reaktion 24/7 P1 = 8 Std., P2 = 24 Std. Wartung im Leasing inkludiert (jaehrlich, Atlas Copco Service-Mitarbeitende vor Ort).</w:t>
      </w:r>
    </w:p>
    <w:p>
      <w:r>
        <w:t>Versicherung: Maschinenbruchversicherung ueber Allianz SE; Selbstbeteiligung 5.000 EUR. Standortbeschraenkung: Geraete duerfen nur in den von BTP angemieteten Reinraum-Bereichen Freimannstrasse 45 betrieben werden.</w:t>
      </w:r>
    </w:p>
    <w:p>
      <w:pPr>
        <w:pStyle w:val="Heading3"/>
      </w:pPr>
      <w:r>
        <w:t>Buchhalterische Behandlung</w:t>
      </w:r>
    </w:p>
    <w:p>
      <w:r>
        <w:t>Operating-Lease nach HGB-Wahlrecht; buchungstechnisch off-balance. IFRS 16 nicht relevant (HGB-Einzelabschluss). Leasingaufwand wird linear auf 60 Monate verteilt.</w:t>
      </w:r>
    </w:p>
    <w:p>
      <w:pPr>
        <w:pStyle w:val="Heading3"/>
      </w:pPr>
      <w:r>
        <w:t>Kuendigung</w:t>
      </w:r>
    </w:p>
    <w:p>
      <w:r>
        <w:t>Vorzeitige Rueckgabe zulaessig ab Monat 36 mit 12 Monatsraten Aufloesungsgebuehr. Ausserordentliche Kuendigung bei wesentlichen Vertragsverletzungen.</w:t>
      </w:r>
    </w:p>
    <w:p>
      <w:pPr>
        <w:pStyle w:val="Heading3"/>
      </w:pPr>
      <w:r>
        <w:t>Unterschriften</w:t>
      </w:r>
    </w:p>
    <w:p>
      <w:r>
        <w:t>Ort, Datum: Muenchen / Essen, den 14. Juli 2023</w:t>
      </w:r>
    </w:p>
    <w:p>
      <w:r>
        <w:t>_________________________            _________________________</w:t>
        <w:br/>
        <w:t>Thomas Mueller                          Markus Lendle</w:t>
        <w:br/>
        <w:t>CFO                          Senior Account Manager</w:t>
        <w:br/>
        <w:t>Sentavia Precision GmbH                       Atlas Copco Industriedienstleistungen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