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Cybersecurity-Policy fuer Medizinprodukte (IEC 81001-5-1)</w:t>
      </w:r>
    </w:p>
    <w:p>
      <w:pPr>
        <w:jc w:val="center"/>
      </w:pPr>
      <w:r>
        <w:t>Verbindlich ab 1. Januar 2024</w:t>
      </w:r>
    </w:p>
    <w:p/>
    <w:p>
      <w:pPr>
        <w:pStyle w:val="Heading3"/>
      </w:pPr>
      <w:r>
        <w:t>Zweck</w:t>
      </w:r>
    </w:p>
    <w:p>
      <w:r>
        <w:t>Diese Policy regelt die Cybersecurity-Anforderungen an die von der Sentavia Precision GmbH in Verkehr gebrachten Medizinprodukte. Sie umfasst die Anforderungen aus der MDR (EU 2017/745), der IEC 81001-5-1 (Health software and health IT systems safety, effectiveness and security – Part 5-1: Security – Activities in the product life cycle) sowie der MDCG 2019-16 (Guidance on Cybersecurity for medical devices).</w:t>
      </w:r>
    </w:p>
    <w:p>
      <w:pPr>
        <w:pStyle w:val="Heading3"/>
      </w:pPr>
      <w:r>
        <w:t>Kern-Schutzziele</w:t>
      </w:r>
    </w:p>
    <w:p>
      <w:pPr>
        <w:pStyle w:val="ListBullet"/>
      </w:pPr>
      <w:r>
        <w:t>Vertraulichkeit (Confidentiality): Verhinderung des unautorisierten Zugriffs auf Patientendaten und Geraetekonfigurationen.</w:t>
      </w:r>
    </w:p>
    <w:p>
      <w:pPr>
        <w:pStyle w:val="ListBullet"/>
      </w:pPr>
      <w:r>
        <w:t>Integritaet (Integrity): Erkennung und Verhinderung unautorisierter Aenderungen an Software / Daten.</w:t>
      </w:r>
    </w:p>
    <w:p>
      <w:pPr>
        <w:pStyle w:val="ListBullet"/>
      </w:pPr>
      <w:r>
        <w:t>Verfuegbarkeit (Availability): Sicherstellung der bestimmungsgemaessen Funktion des Medizinprodukts auch im Cybersecurity-Vorfall.</w:t>
      </w:r>
    </w:p>
    <w:p>
      <w:pPr>
        <w:pStyle w:val="ListBullet"/>
      </w:pPr>
      <w:r>
        <w:t>Patientensicherheit: keine Cybersecurity-Vorfaelle, die zu Risiken fuer Patient:innen fuehren koennen.</w:t>
      </w:r>
    </w:p>
    <w:p>
      <w:pPr>
        <w:pStyle w:val="Heading3"/>
      </w:pPr>
      <w:r>
        <w:t>Anforderungen waehrend des gesamten Lebenszyklus</w:t>
      </w:r>
    </w:p>
    <w:p>
      <w:pPr>
        <w:pStyle w:val="Heading4"/>
      </w:pPr>
      <w:r>
        <w:t>§ 1 Design-Phase</w:t>
      </w:r>
    </w:p>
    <w:p>
      <w:r>
        <w:rPr>
          <w:b/>
        </w:rPr>
        <w:t xml:space="preserve">(1) </w:t>
      </w:r>
      <w:r>
        <w:t>Security-by-Design: Bedrohungsmodellierung (Threat Modeling, STRIDE) ab Konzept-Phase.</w:t>
      </w:r>
    </w:p>
    <w:p>
      <w:r>
        <w:rPr>
          <w:b/>
        </w:rPr>
        <w:t xml:space="preserve">(2) </w:t>
      </w:r>
      <w:r>
        <w:t>Secure Coding Guidelines (OWASP Top 10, CWE Top 25) verbindlich fuer Software-Entwicklung.</w:t>
      </w:r>
    </w:p>
    <w:p>
      <w:r>
        <w:rPr>
          <w:b/>
        </w:rPr>
        <w:t xml:space="preserve">(3) </w:t>
      </w:r>
      <w:r>
        <w:t>Cybersecurity Risk Assessment gemaess AAMI TIR57 / FDA Pre-Market Cybersecurity Guidance.</w:t>
      </w:r>
    </w:p>
    <w:p>
      <w:pPr>
        <w:pStyle w:val="Heading4"/>
      </w:pPr>
      <w:r>
        <w:t>§ 2 Verifizierung &amp; Validierung</w:t>
      </w:r>
    </w:p>
    <w:p>
      <w:r>
        <w:rPr>
          <w:b/>
        </w:rPr>
        <w:t xml:space="preserve">(1) </w:t>
      </w:r>
      <w:r>
        <w:t>Static Code Analysis (SonarQube), Dependency Scanning (OWASP Dependency-Check).</w:t>
      </w:r>
    </w:p>
    <w:p>
      <w:r>
        <w:rPr>
          <w:b/>
        </w:rPr>
        <w:t>(2) Penetrationstest pro Major-Release vor Marktauslieferung (extern, durchgefuehrt SecuVantage GmbH).</w:t>
      </w:r>
      <w:r/>
    </w:p>
    <w:p>
      <w:r>
        <w:rPr>
          <w:b/>
        </w:rPr>
        <w:t xml:space="preserve">(3) </w:t>
      </w:r>
      <w:r>
        <w:t>Software Bill of Materials (SBOM) – Pflicht ab MDR Annex IV.</w:t>
      </w:r>
    </w:p>
    <w:p>
      <w:pPr>
        <w:pStyle w:val="Heading4"/>
      </w:pPr>
      <w:r>
        <w:t>§ 3 Post-Market Surveillance</w:t>
      </w:r>
    </w:p>
    <w:p>
      <w:r>
        <w:rPr>
          <w:b/>
        </w:rPr>
        <w:t xml:space="preserve">(1) </w:t>
      </w:r>
      <w:r>
        <w:t>Monitoring auf neue Schwachstellen (CVE-Feeds, US-CERT, ENISA).</w:t>
      </w:r>
    </w:p>
    <w:p>
      <w:r>
        <w:rPr>
          <w:b/>
        </w:rPr>
        <w:t xml:space="preserve">(2) </w:t>
      </w:r>
      <w:r>
        <w:t>Security-Patch-Versorgung fuer 10 Jahre nach Marktauslieferung.</w:t>
      </w:r>
    </w:p>
    <w:p>
      <w:r>
        <w:rPr>
          <w:b/>
        </w:rPr>
        <w:t xml:space="preserve">(3) </w:t>
      </w:r>
      <w:r>
        <w:t>Incident-Response-Prozess gemaess MDR Artikel 87 (Vigilance).</w:t>
      </w:r>
    </w:p>
    <w:p>
      <w:pPr>
        <w:pStyle w:val="Heading3"/>
      </w:pPr>
      <w:r>
        <w:t>Verantwortlich</w:t>
      </w:r>
    </w:p>
    <w:p>
      <w:r>
        <w:t>CTO Dr. Marcus Vogt; Cybersecurity-Lead Felix Schaefer; externe Beratung BTC Business Technology Consulting AG. Schulungen jaehrlich verpflichtend fuer R&amp;D Software und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