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Sentavia Precision GmbH</w:t>
      </w:r>
    </w:p>
    <w:p>
      <w:r>
        <w:rPr>
          <w:sz w:val="18"/>
        </w:rPr>
        <w:t>Freimannstraße 45, 80939 München  |  HRB 218934, Amtsgericht München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IT-Sicherheitskonzept 2024</w:t>
      </w:r>
    </w:p>
    <w:p>
      <w:pPr>
        <w:jc w:val="center"/>
      </w:pPr>
      <w:r>
        <w:t>Verbindlich ab 1. Februar 2024</w:t>
      </w:r>
    </w:p>
    <w:p/>
    <w:p>
      <w:pPr>
        <w:pStyle w:val="Heading3"/>
      </w:pPr>
      <w:r>
        <w:t>Zweck</w:t>
      </w:r>
    </w:p>
    <w:p>
      <w:r>
        <w:t>Das Sicherheitskonzept der Sentavia Precision GmbH orientiert sich an BSI IT-Grundschutz, ISO 27001 (in Vorbereitung Zertifizierung 2025) sowie den spezifischen Anforderungen der Medizinprodukteindustrie (IEC 81001-5-1, MDCG 2019-16 Cybersecurity Guidance). Schutzbedarfsklassen: Verfuegbarkeit (sehr hoch fuer Produktion / Vigilance), Integritaet (sehr hoch fuer klinische Daten / Regulatory), Vertraulichkeit (sehr hoch fuer Patentanmeldungen / klinische Daten).</w:t>
      </w:r>
    </w:p>
    <w:p>
      <w:pPr>
        <w:pStyle w:val="Heading3"/>
      </w:pPr>
      <w:r>
        <w:t>Kernregelungen</w:t>
      </w:r>
    </w:p>
    <w:p>
      <w:pPr>
        <w:pStyle w:val="ListBullet"/>
      </w:pPr>
      <w:r>
        <w:t>Zero-Trust-Architektur: keine implizite Vertrauensstellung; jeder Zugriff wird kontextbezogen geprueft (Microsoft Entra ID Conditional Access).</w:t>
      </w:r>
    </w:p>
    <w:p>
      <w:pPr>
        <w:pStyle w:val="ListBullet"/>
      </w:pPr>
      <w:r>
        <w:t>Netzwerk-Segmentierung: Office, F&amp;E, Produktion (Reinraum), Klinik (REDCap) in separaten VLANs mit dedizierten Firewalls.</w:t>
      </w:r>
    </w:p>
    <w:p>
      <w:pPr>
        <w:pStyle w:val="ListBullet"/>
      </w:pPr>
      <w:r>
        <w:t>EDR (Endpoint Detection &amp; Response): CrowdStrike Falcon auf allen Endpoints, 24/7 Monitoring ueber SOC-as-a-Service (Sopra Steria).</w:t>
      </w:r>
    </w:p>
    <w:p>
      <w:pPr>
        <w:pStyle w:val="ListBullet"/>
      </w:pPr>
      <w:r>
        <w:t>SIEM: zentrale Log-Sammlung Splunk Cloud; Anomalie-Detektion mit ML; Alerts an SOC.</w:t>
      </w:r>
    </w:p>
    <w:p>
      <w:pPr>
        <w:pStyle w:val="ListBullet"/>
      </w:pPr>
      <w:r>
        <w:t>Patch-Management: monatlicher Patch-Cycle Windows / Linux; Sicherheits-Patches binnen 72 Std.</w:t>
      </w:r>
    </w:p>
    <w:p>
      <w:pPr>
        <w:pStyle w:val="ListBullet"/>
      </w:pPr>
      <w:r>
        <w:t>Pflichtschulung: jaehrlich 60 Min. Awareness-Training; quartalsweise Phishing-Simulationen.</w:t>
      </w:r>
    </w:p>
    <w:p>
      <w:pPr>
        <w:pStyle w:val="ListBullet"/>
      </w:pPr>
      <w:r>
        <w:t>Audit-Programm: jaehrliches internes Audit; externes Audit alle 24 Mo. (zuletzt SecuVantage GmbH 2023).</w:t>
      </w:r>
    </w:p>
    <w:p>
      <w:pPr>
        <w:pStyle w:val="ListBullet"/>
      </w:pPr>
      <w:r>
        <w:t>Incident-Response-Plan: definierte Eskalationsstufen; Krisenstab-Aktivierung bei P1-Vorfaellen.</w:t>
      </w:r>
    </w:p>
    <w:p>
      <w:pPr>
        <w:pStyle w:val="ListBullet"/>
      </w:pPr>
      <w:r>
        <w:t>Datenschutz: enge Verzahnung mit DSB Dr. Markus Lehmann; AVV-Verzeichnis vollstaendig.</w:t>
      </w:r>
    </w:p>
    <w:p>
      <w:pPr>
        <w:pStyle w:val="Heading3"/>
      </w:pPr>
      <w:r>
        <w:t>Geltungsbereich</w:t>
      </w:r>
    </w:p>
    <w:p>
      <w:r>
        <w:t>Diese Richtlinie gilt fuer alle Mitarbeitenden, externen Dienstleister, Praktikanten und Studierenden, die mit IT-Systemen der Sentavia Precision GmbH arbeiten. Sie ergaenzt die internen ISMS-Richtlinien und die Vorgaben aus IEC 62443 (Industrial Security) sowie IEC 81001-5-1 (Cybersecurity Medizinprodukte).</w:t>
      </w:r>
    </w:p>
    <w:p>
      <w:pPr>
        <w:pStyle w:val="Heading3"/>
      </w:pPr>
      <w:r>
        <w:t>Verstoss / Sanktion</w:t>
      </w:r>
    </w:p>
    <w:p>
      <w:r>
        <w:t>Verstoesse gegen diese Richtlinie koennen arbeitsrechtliche Konsequenzen haben (Abmahnung bis ausserordentliche Kuendigung). Bei Vorsatz oder grober Fahrlaessigkeit behaelt sich die Gesellschaft zivil- und strafrechtliche Schritte vor.</w:t>
      </w:r>
    </w:p>
    <w:p>
      <w:pPr>
        <w:pStyle w:val="Heading3"/>
      </w:pPr>
      <w:r>
        <w:t>Verantwortlich</w:t>
      </w:r>
    </w:p>
    <w:p>
      <w:r>
        <w:t>IT-Leitung (Markus Helmer); Informationssicherheitsbeauftragter ISB.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