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Disaster-Recovery-Plan (ENTWURF v0.9)</w:t>
      </w:r>
    </w:p>
    <w:p>
      <w:pPr>
        <w:jc w:val="center"/>
      </w:pPr>
      <w:r>
        <w:t>Verbindlich ab geplant 1. Mai 2024</w:t>
      </w:r>
    </w:p>
    <w:p/>
    <w:p>
      <w:pPr>
        <w:pStyle w:val="Heading3"/>
      </w:pPr>
      <w:r>
        <w:t>Zweck</w:t>
      </w:r>
    </w:p>
    <w:p>
      <w:r>
        <w:t>Dieser Disaster-Recovery-Plan (DRP) regelt die Wiederherstellung der kritischen IT-Systeme der Sentavia Precision GmbH im Falle eines Disaster-Events (Ausfall Rechenzentrum, Ransomware, physische Beschaedigung). Status: ENTWURF v0.9 zur Beirats-Pruefung; finale Freigabe in Q2/2024.</w:t>
      </w:r>
    </w:p>
    <w:p>
      <w:pPr>
        <w:pStyle w:val="Heading3"/>
      </w:pPr>
      <w:r>
        <w:t>Kernregelungen</w:t>
      </w:r>
    </w:p>
    <w:p>
      <w:pPr>
        <w:pStyle w:val="ListBullet"/>
      </w:pPr>
      <w:r>
        <w:t>Klassifizierung kritischer Systeme: Klasse A (SAP, MasterControl QMS, REDCap, AD) RTO 4 Std., RPO 1 Std.; Klasse B (CRM, Outlook, Sharepoint) RTO 24 Std., RPO 4 Std.; Klasse C (Tools) RTO 5 WT, RPO 24 Std.</w:t>
      </w:r>
    </w:p>
    <w:p>
      <w:pPr>
        <w:pStyle w:val="ListBullet"/>
      </w:pPr>
      <w:r>
        <w:t>Backup-Strategie: 3-2-1-Regel (3 Kopien, 2 Medien, 1 off-site). Off-site-Backup bei AWS Frankfurt (Region eu-central-1). Verschluesselung at-rest und in-transit (AES-256).</w:t>
      </w:r>
    </w:p>
    <w:p>
      <w:pPr>
        <w:pStyle w:val="ListBullet"/>
      </w:pPr>
      <w:r>
        <w:t>Wiederanlauf-Verfahren: dokumentiert in Runbooks (Sharepoint /it/runbooks). Test halbjaehrlich.</w:t>
      </w:r>
    </w:p>
    <w:p>
      <w:pPr>
        <w:pStyle w:val="ListBullet"/>
      </w:pPr>
      <w:r>
        <w:t>Externe Partner: Computacenter AG (Restore-Operations), Sopra Steria (Forensik bei Cyber-Vorfall).</w:t>
      </w:r>
    </w:p>
    <w:p>
      <w:pPr>
        <w:pStyle w:val="ListBullet"/>
      </w:pPr>
      <w:r>
        <w:t>Eskalationspfad: IT-Leitung -&gt; CFO -&gt; CEO. Krisenkommunikation an Kunden / Notified Body / Behoerden.</w:t>
      </w:r>
    </w:p>
    <w:p>
      <w:pPr>
        <w:pStyle w:val="ListBullet"/>
      </w:pPr>
      <w:r>
        <w:t>Geographic redundancy: bei langen Ausfaellen Failover auf AWS-Region eu-west-1 (Dublin) moeglich.</w:t>
      </w:r>
    </w:p>
    <w:p>
      <w:pPr>
        <w:pStyle w:val="ListBullet"/>
      </w:pPr>
      <w:r>
        <w:t>Tabletop-Uebung jaehrlich; Letzte Uebung: 14. November 2023 (Szenario: Ransomware MasterControl).</w:t>
      </w:r>
    </w:p>
    <w:p>
      <w:pPr>
        <w:pStyle w:val="ListBullet"/>
      </w:pPr>
      <w:r>
        <w:t>Update-Zyklus: DRP wird halbjaehrlich auf Aktualitaet geprueft; vollstaendige Ueberarbeitung 24 Mo.</w:t>
      </w:r>
    </w:p>
    <w:p>
      <w:pPr>
        <w:pStyle w:val="Heading3"/>
      </w:pPr>
      <w:r>
        <w:t>Geltungsbereich</w:t>
      </w:r>
    </w:p>
    <w:p>
      <w:r>
        <w:t>Diese Richtlinie gilt fuer alle Mitarbeitenden, externen Dienstleister, Praktikanten und Studierenden, die mit IT-Systemen der Sentavia Precision GmbH arbeiten. Sie ergaenzt die internen ISMS-Richtlinien und die Vorgaben aus IEC 62443 (Industrial Security) sowie IEC 81001-5-1 (Cybersecurity Medizinprodukte).</w:t>
      </w:r>
    </w:p>
    <w:p>
      <w:pPr>
        <w:pStyle w:val="Heading3"/>
      </w:pPr>
      <w:r>
        <w:t>Verstoss / Sanktion</w:t>
      </w:r>
    </w:p>
    <w:p>
      <w:r>
        <w:t>Verstoesse gegen diese Richtlinie koennen arbeitsrechtliche Konsequenzen haben (Abmahnung bis ausserordentliche Kuendigung). Bei Vorsatz oder grober Fahrlaessigkeit behaelt sich die Gesellschaft zivil- und strafrechtliche Schritte vor.</w:t>
      </w:r>
    </w:p>
    <w:p>
      <w:pPr>
        <w:pStyle w:val="Heading3"/>
      </w:pPr>
      <w:r>
        <w:t>Verantwortlich</w:t>
      </w:r>
    </w:p>
    <w:p>
      <w:r>
        <w:t>IT-Leitung (Markus Helmer); Beauftragter Risiko / Compliance Dr. Hartmut Krieger.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