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Mobile Device Management (MDM) Policy</w:t>
      </w:r>
    </w:p>
    <w:p>
      <w:pPr>
        <w:jc w:val="center"/>
      </w:pPr>
      <w:r>
        <w:t>Verbindlich ab 1. April 2024</w:t>
      </w:r>
    </w:p>
    <w:p/>
    <w:p>
      <w:pPr>
        <w:pStyle w:val="Heading3"/>
      </w:pPr>
      <w:r>
        <w:t>Zweck</w:t>
      </w:r>
    </w:p>
    <w:p>
      <w:r>
        <w:t>Diese Richtlinie regelt die Nutzung mobiler Endgeraete (Smartphones, Tablets) im Kontext der Sentavia Precision GmbH. Alle Geraete, die auf BTP-Daten zugreifen, muessen ueber das Microsoft Intune MDM-System registriert und konfiguriert sein.</w:t>
      </w:r>
    </w:p>
    <w:p>
      <w:pPr>
        <w:pStyle w:val="Heading3"/>
      </w:pPr>
      <w:r>
        <w:t>Kernregelungen</w:t>
      </w:r>
    </w:p>
    <w:p>
      <w:pPr>
        <w:pStyle w:val="ListBullet"/>
      </w:pPr>
      <w:r>
        <w:t>Pflichten Mitarbeitende: Anmeldung des Endgeraets im MDM bei Beschaeftigungsbeginn; Sofortmeldung bei Verlust oder Diebstahl an IT-Hotline.</w:t>
      </w:r>
    </w:p>
    <w:p>
      <w:pPr>
        <w:pStyle w:val="ListBullet"/>
      </w:pPr>
      <w:r>
        <w:t>Konfiguration: PIN/Biometrie verpflichtend; Geraetespeicher-Verschluesselung; automatische Bildschirmsperre nach 5 Min.; Drittanbieter-Apps nur aus zugelassenem Application-Store.</w:t>
      </w:r>
    </w:p>
    <w:p>
      <w:pPr>
        <w:pStyle w:val="ListBullet"/>
      </w:pPr>
      <w:r>
        <w:t>Datenbereich-Containerisierung: BTP-Daten (E-Mail, Sharepoint, Teams) in einem geschuetzten Container; private Apps und Daten haben keinen Zugriff darauf.</w:t>
      </w:r>
    </w:p>
    <w:p>
      <w:pPr>
        <w:pStyle w:val="ListBullet"/>
      </w:pPr>
      <w:r>
        <w:t>Remote Wipe Faehigkeit: bei Verlust / Mitarbeiteraustritt kann der BTP-Container ohne Auswirkung auf private Daten geloescht werden.</w:t>
      </w:r>
    </w:p>
    <w:p>
      <w:pPr>
        <w:pStyle w:val="ListBullet"/>
      </w:pPr>
      <w:r>
        <w:t>BYOD (Bring Your Own Device) zulaessig nach Anmeldung und schriftlicher Einverstaendniserklaerung (Anlage 1); zum BTP-Container gilt das BTP-Datenschutz- und Sicherheitsregime.</w:t>
      </w:r>
    </w:p>
    <w:p>
      <w:pPr>
        <w:pStyle w:val="ListBullet"/>
      </w:pPr>
      <w:r>
        <w:t>OS-Updates: Geraete muessen aktuellen Sicherheitsstand haben (max. 1 Major-Release zurueck); MDM erzwingt Updates.</w:t>
      </w:r>
    </w:p>
    <w:p>
      <w:pPr>
        <w:pStyle w:val="ListBullet"/>
      </w:pPr>
      <w:r>
        <w:t>Risikoklassifizierung: Geraete der Geschaeftsfuehrung / F&amp;E / Klinik werden mit erhoehter Sicherheitsstufe konfiguriert (Hardware-Token, Conditional Access).</w:t>
      </w:r>
    </w:p>
    <w:p>
      <w:pPr>
        <w:pStyle w:val="Heading3"/>
      </w:pPr>
      <w:r>
        <w:t>Geltungsbereich</w:t>
      </w:r>
    </w:p>
    <w:p>
      <w:r>
        <w:t>Diese Richtlinie gilt fuer alle Mitarbeitenden, externen Dienstleister, Praktikanten und Studierenden, die mit IT-Systemen der Sentavia Precision GmbH arbeiten. Sie ergaenzt die internen ISMS-Richtlinien und die Vorgaben aus IEC 62443 (Industrial Security) sowie IEC 81001-5-1 (Cybersecurity Medizinprodukte).</w:t>
      </w:r>
    </w:p>
    <w:p>
      <w:pPr>
        <w:pStyle w:val="Heading3"/>
      </w:pPr>
      <w:r>
        <w:t>Verstoss / Sanktion</w:t>
      </w:r>
    </w:p>
    <w:p>
      <w:r>
        <w:t>Verstoesse gegen diese Richtlinie koennen arbeitsrechtliche Konsequenzen haben (Abmahnung bis ausserordentliche Kuendigung). Bei Vorsatz oder grober Fahrlaessigkeit behaelt sich die Gesellschaft zivil- und strafrechtliche Schritte vor.</w:t>
      </w:r>
    </w:p>
    <w:p>
      <w:pPr>
        <w:pStyle w:val="Heading3"/>
      </w:pPr>
      <w:r>
        <w:t>Verantwortlich</w:t>
      </w:r>
    </w:p>
    <w:p>
      <w:r>
        <w:t>IT-Leitung (Markus Helmer); externer Cybersecurity-Beauftragter Dr. Hartmut Krieger (extern, BTC Business Technology Consulting AG).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