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Anti-Korruptions-Richtlinie</w:t>
      </w:r>
    </w:p>
    <w:p>
      <w:pPr>
        <w:jc w:val="center"/>
      </w:pPr>
      <w:r>
        <w:t>Verbindlich ab 1. Januar 2024; Anwendung in der gesamten BTP-Gruppe</w:t>
      </w:r>
    </w:p>
    <w:p/>
    <w:p>
      <w:pPr>
        <w:pStyle w:val="Heading3"/>
      </w:pPr>
      <w:r>
        <w:t>Geltungsbereich</w:t>
      </w:r>
    </w:p>
    <w:p>
      <w:r>
        <w:t>Diese Richtlinie gilt fuer alle Beschaeftigten, Geschaeftsfuehrungsmitglieder, Praktikanten, Werkstudierenden und Leihkraefte der Sentavia Precision GmbH sowie deren Tochtergesellschaften (Sentavia Precision France S.A.S.). Sie ist auch von Dienstleistern, Beratern und Lieferanten zu beachten, soweit sie in den Geschaeftsraeumen oder im Auftrag der Gesellschaft taetig sind.</w:t>
      </w:r>
    </w:p>
    <w:p>
      <w:pPr>
        <w:pStyle w:val="Heading3"/>
      </w:pPr>
      <w:r>
        <w:t>Wesentliche Regelungen</w:t>
      </w:r>
    </w:p>
    <w:p>
      <w:pPr>
        <w:pStyle w:val="ListBullet"/>
      </w:pPr>
      <w:r>
        <w:t>Verbot der aktiven und passiven Bestechung im Privat- und Behoerdenverkehr (§§ 299, 332-334 StGB, FCPA, UKBA).</w:t>
      </w:r>
    </w:p>
    <w:p>
      <w:pPr>
        <w:pStyle w:val="ListBullet"/>
      </w:pPr>
      <w:r>
        <w:t>Geschenke und Einladungen an HCPs (Health Care Professionals) nur im Rahmen der Vorgaben des Heilmittelwerbegesetzes (HWG, §§ 7, 7a) sowie der Berufsordnung der Aerzte (MBO-Ae § 32).</w:t>
      </w:r>
    </w:p>
    <w:p>
      <w:pPr>
        <w:pStyle w:val="ListBullet"/>
      </w:pPr>
      <w:r>
        <w:t>Geschenke oberhalb 30 EUR an Aerzt:innen sind ausnahmslos unzulaessig.</w:t>
      </w:r>
    </w:p>
    <w:p>
      <w:pPr>
        <w:pStyle w:val="ListBullet"/>
      </w:pPr>
      <w:r>
        <w:t>Einladungen zu Kongressen / Fortbildungen nur mit klarem fortbildungsbezogenem Mehrwert; keine Begleitperson, keine touristischen Programme.</w:t>
      </w:r>
    </w:p>
    <w:p>
      <w:pPr>
        <w:pStyle w:val="ListBullet"/>
      </w:pPr>
      <w:r>
        <w:t>Vergutungsregelungen mit HCPs (Advisory Board, Referent, klinische Pruefer) gemaess transparenter Vertragsvorlage; Hoehe orientiert an angemessenem Stundensatz (Fair Market Value).</w:t>
      </w:r>
    </w:p>
    <w:p>
      <w:pPr>
        <w:pStyle w:val="ListBullet"/>
      </w:pPr>
      <w:r>
        <w:t>Vertretungs- und Vermittler-Vertraege im Ausland (Frankreich, USA) durchlaufen Compliance-Due-Diligence.</w:t>
      </w:r>
    </w:p>
    <w:p>
      <w:pPr>
        <w:pStyle w:val="Heading3"/>
      </w:pPr>
      <w:r>
        <w:t>Schulung und Compliance</w:t>
      </w:r>
    </w:p>
    <w:p>
      <w:r>
        <w:t>Alle Mitarbeitenden werden jaehrlich verpflichtend zu dieser Richtlinie geschult (e-Learning, Dauer ca. 25 Min.) und bestaetigen die Kenntnisnahme per Klick. Vertriebs- und Aussendienstmitarbeitende sowie die Geschaeftsfuehrung erhalten zusaetzlich jaehrlich eine Praesenzschulung.</w:t>
      </w:r>
    </w:p>
    <w:p>
      <w:pPr>
        <w:pStyle w:val="Heading3"/>
      </w:pPr>
      <w:r>
        <w:t>Hinweisgebersystem</w:t>
      </w:r>
    </w:p>
    <w:p>
      <w:r>
        <w:t>Hinweise auf moegliche Verstoesse koennen ueber das vertrauliche Hinweisgebersystem 'SPEAK-UP@BTP' (extern gehostet, EQS Group AG) anonym oder offen erfolgen. Telefon-Hotline +49 800 555 33 22 (24/7). Es gelten die Regeln des HinSchG; Repression gegen meldende Personen ist verboten.</w:t>
      </w:r>
    </w:p>
    <w:p>
      <w:pPr>
        <w:pStyle w:val="Heading3"/>
      </w:pPr>
      <w:r>
        <w:t>Verantwortlich</w:t>
      </w:r>
    </w:p>
    <w:p>
      <w:r>
        <w:t>Compliance Officer (CO) Frau Andrea Schneider; rechtliche Begleitung Noerr PartGmbB.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