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HWG-Compliance Medizinprodukte</w:t>
      </w:r>
    </w:p>
    <w:p>
      <w:pPr>
        <w:jc w:val="center"/>
      </w:pPr>
      <w:r>
        <w:t>Verbindlich ab 1. Juli 2023;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Beachtung des Heilmittelwerbegesetzes (HWG) bei Werbung gegenueber Fachkreisen und Publikum.</w:t>
      </w:r>
    </w:p>
    <w:p>
      <w:pPr>
        <w:pStyle w:val="ListBullet"/>
      </w:pPr>
      <w:r>
        <w:t>Werbung gegenueber Patient:innen / Publikum (z. B. Webseite, Broschueren) erfordert klare, wissenschaftlich abgesicherte Aussagen; subjektive Heilversprechen sind verboten.</w:t>
      </w:r>
    </w:p>
    <w:p>
      <w:pPr>
        <w:pStyle w:val="ListBullet"/>
      </w:pPr>
      <w:r>
        <w:t>Werbung gegenueber Fachkreisen (Aerzte, Kliniken) ist zulaessig, soweit sie sachlich, wahr und wissenschaftlich begruendet ist; klinische Studienreferenzen sind transparent darzustellen.</w:t>
      </w:r>
    </w:p>
    <w:p>
      <w:pPr>
        <w:pStyle w:val="ListBullet"/>
      </w:pPr>
      <w:r>
        <w:t>Vor jeder Marketing-Aktion (Print, Web, Social Media, Messe) ist die Compliance-Freigabe einzuholen (BTP-Material-Reviewprozess, Tool COMPLIANT-Material).</w:t>
      </w:r>
    </w:p>
    <w:p>
      <w:pPr>
        <w:pStyle w:val="ListBullet"/>
      </w:pPr>
      <w:r>
        <w:t>Schulung Marketing / Vertrieb / KAM jaehrlich verpflichtend.</w:t>
      </w:r>
    </w:p>
    <w:p>
      <w:pPr>
        <w:pStyle w:val="ListBullet"/>
      </w:pPr>
      <w:r>
        <w:t>Bei Verstoss: Stilllegung der Massnahme, Korrektur, ggfs. Selbstanzeige bei Wettbewerbszentrale.</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Marketing-Leitung (Felix Schmidt) in Abstimmung mit Compliance Officer Andrea Schneider.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