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MBO-Ä und Antikorruptionsstrafrecht</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Verbot von Zuwendungen jeder Art (Geld, Vorteile, Sachleistungen) an Aerzt:innen, die im Zusammenhang mit der Verschreibung / Empfehlung / Anwendung von BTP-Medizinprodukten stehen.</w:t>
      </w:r>
    </w:p>
    <w:p>
      <w:pPr>
        <w:pStyle w:val="ListBullet"/>
      </w:pPr>
      <w:r>
        <w:t>Beachtung der Musterberufsordnung der Aerzte (MBO-Ae § 32) sowie der einschlaegigen Strafvorschriften §§ 299a, 299b StGB (Bestechung / Bestechlichkeit im Gesundheitswesen).</w:t>
      </w:r>
    </w:p>
    <w:p>
      <w:pPr>
        <w:pStyle w:val="ListBullet"/>
      </w:pPr>
      <w:r>
        <w:t>Zulaessig sind: angemessen verguterte Beratungs- und Referenten-Honorare auf Basis schriftlicher Vertraege (Anlage 1); Fortbildungsfinanzierungen ohne touristischen Charakter; freie wissenschaftliche Spenden an Kliniken (nur mit GF-Freigabe).</w:t>
      </w:r>
    </w:p>
    <w:p>
      <w:pPr>
        <w:pStyle w:val="ListBullet"/>
      </w:pPr>
      <w:r>
        <w:t>Vorgabe Beratungsvertrag: Tagessatz max. 1.800 EUR (Top-Senior-HCP), 1.200 EUR (Senior-HCP), 800 EUR (HCP). Pruefung gegen Mexikanische Pharmaverbands-Standards / EFPIA Disclosure Code.</w:t>
      </w:r>
    </w:p>
    <w:p>
      <w:pPr>
        <w:pStyle w:val="ListBullet"/>
      </w:pPr>
      <w:r>
        <w:t>Verstoesse koennen arbeitsrechtliche und strafrechtliche Konsequenzen haben.</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Compliance Officer Andrea Schneider, in Abstimmung mit Anwalt Noerr (Dr. Lara Walther) und der CMO Dr. Annika Schmidt.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