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Code of Conduct (Verhaltensregeln)</w:t>
      </w:r>
    </w:p>
    <w:p>
      <w:pPr>
        <w:jc w:val="center"/>
      </w:pPr>
      <w:r>
        <w:t>Verbindlich ab 1. Januar 2024;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Wir achten die Wuerde und das Selbstbestimmungsrecht jedes Menschen, insbesondere von Patient:innen.</w:t>
      </w:r>
    </w:p>
    <w:p>
      <w:pPr>
        <w:pStyle w:val="ListBullet"/>
      </w:pPr>
      <w:r>
        <w:t>Wir handeln integer, transparent und gemaess geltendem Recht.</w:t>
      </w:r>
    </w:p>
    <w:p>
      <w:pPr>
        <w:pStyle w:val="ListBullet"/>
      </w:pPr>
      <w:r>
        <w:t>Wir achten Compliance-Vorgaben (HWG, MBO-Ae, Anti-Korruption, DSGVO, MDR/IVDR).</w:t>
      </w:r>
    </w:p>
    <w:p>
      <w:pPr>
        <w:pStyle w:val="ListBullet"/>
      </w:pPr>
      <w:r>
        <w:t>Wir foerdern Diversitaet und schaffen ein diskriminierungsfreies Arbeitsumfeld (keine Diskriminierung aufgrund Geschlecht, Alter, Herkunft, Religion, sexueller Orientierung, Behinderung).</w:t>
      </w:r>
    </w:p>
    <w:p>
      <w:pPr>
        <w:pStyle w:val="ListBullet"/>
      </w:pPr>
      <w:r>
        <w:t>Wir sind Steward unseres Planeten: Umweltbewusstes Verhalten und Reduktion des CO2-Fussabdrucks.</w:t>
      </w:r>
    </w:p>
    <w:p>
      <w:pPr>
        <w:pStyle w:val="ListBullet"/>
      </w:pPr>
      <w:r>
        <w:t>Wir respektieren Menschenrechte in unserer Lieferkette gemaess LkSG (auch wenn nicht formal pflichtig).</w:t>
      </w:r>
    </w:p>
    <w:p>
      <w:pPr>
        <w:pStyle w:val="ListBullet"/>
      </w:pPr>
      <w:r>
        <w:t>Wir trennen Privates von Beruflichem (keine Interessenkonflikte) und melden Konflikte proaktiv.</w:t>
      </w:r>
    </w:p>
    <w:p>
      <w:pPr>
        <w:pStyle w:val="ListBullet"/>
      </w:pPr>
      <w:r>
        <w:t>Wir nutzen Unternehmensressourcen sorgsam und ausschliesslich fuer betriebliche Zwecke.</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Compliance Officer Andrea Schneider; Verhaltenscharta Bestandteil des Arbeitsvertrages.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