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Interessenkonflikt-Richtlinie</w:t>
      </w:r>
    </w:p>
    <w:p>
      <w:pPr>
        <w:jc w:val="center"/>
      </w:pPr>
      <w:r>
        <w:t>Verbindlich ab 1. Januar 2024; Anwendung in der gesamten BTP-Gruppe</w:t>
      </w:r>
    </w:p>
    <w:p/>
    <w:p>
      <w:pPr>
        <w:pStyle w:val="Heading3"/>
      </w:pPr>
      <w:r>
        <w:t>Geltungsbereich</w:t>
      </w:r>
    </w:p>
    <w:p>
      <w:r>
        <w:t>Diese Richtlinie gilt fuer alle Beschaeftigten, Geschaeftsfuehrungsmitglieder, Praktikanten, Werkstudierenden und Leihkraefte der Sentavia Precision GmbH sowie deren Tochtergesellschaften (Sentavia Precision France S.A.S.). Sie ist auch von Dienstleistern, Beratern und Lieferanten zu beachten, soweit sie in den Geschaeftsraeumen oder im Auftrag der Gesellschaft taetig sind.</w:t>
      </w:r>
    </w:p>
    <w:p>
      <w:pPr>
        <w:pStyle w:val="Heading3"/>
      </w:pPr>
      <w:r>
        <w:t>Wesentliche Regelungen</w:t>
      </w:r>
    </w:p>
    <w:p>
      <w:pPr>
        <w:pStyle w:val="ListBullet"/>
      </w:pPr>
      <w:r>
        <w:t>Beschaeftigte und Geschaeftsfuehrungsmitglieder sind verpflichtet, alle bestehenden oder potenziellen Interessenkonflikte unverzueglich offen zu legen.</w:t>
      </w:r>
    </w:p>
    <w:p>
      <w:pPr>
        <w:pStyle w:val="ListBullet"/>
      </w:pPr>
      <w:r>
        <w:t>Ein Interessenkonflikt liegt insbesondere vor bei: persoenlicher Beziehung zu Lieferanten / Kunden / Pruefenden; Nebentaetigkeiten bei Wettbewerbern; finanzieller Beteiligung an Geschaeftspartnern; Familienangehoerige bei Geschaeftspartnern.</w:t>
      </w:r>
    </w:p>
    <w:p>
      <w:pPr>
        <w:pStyle w:val="ListBullet"/>
      </w:pPr>
      <w:r>
        <w:t>Pflicht zur Offenlegung: schriftlich an Compliance Officer (interessenkonflikt@sentavia-precision.de); jaehrliche Pflichterklaerung Geschaeftsfuehrung und C-Level.</w:t>
      </w:r>
    </w:p>
    <w:p>
      <w:pPr>
        <w:pStyle w:val="ListBullet"/>
      </w:pPr>
      <w:r>
        <w:t>Nach Pruefung: Verbot der Beteiligung an entsprechenden Geschaefts-/Auswahlentscheidungen; ggfs. Massnahmen zur Vermeidung (z. B. Funktionswechsel, Auflage der Auflage).</w:t>
      </w:r>
    </w:p>
    <w:p>
      <w:pPr>
        <w:pStyle w:val="ListBullet"/>
      </w:pPr>
      <w:r>
        <w:t>Geschenke / Einladungen von Geschaeftspartnern: nicht ueber 30 EUR Wert ohne vorherige Anzeige.</w:t>
      </w:r>
    </w:p>
    <w:p>
      <w:pPr>
        <w:pStyle w:val="ListBullet"/>
      </w:pPr>
      <w:r>
        <w:t>Verstoss kann arbeitsrechtliche Konsequenzen haben (bis ausserordentliche Kuendigung).</w:t>
      </w:r>
    </w:p>
    <w:p>
      <w:pPr>
        <w:pStyle w:val="Heading3"/>
      </w:pPr>
      <w:r>
        <w:t>Schulung und Compliance</w:t>
      </w:r>
    </w:p>
    <w:p>
      <w:r>
        <w:t>Alle Mitarbeitenden werden jaehrlich verpflichtend zu dieser Richtlinie geschult (e-Learning, Dauer ca. 25 Min.) und bestaetigen die Kenntnisnahme per Klick. Vertriebs- und Aussendienstmitarbeitende sowie die Geschaeftsfuehrung erhalten zusaetzlich jaehrlich eine Praesenzschulung.</w:t>
      </w:r>
    </w:p>
    <w:p>
      <w:pPr>
        <w:pStyle w:val="Heading3"/>
      </w:pPr>
      <w:r>
        <w:t>Hinweisgebersystem</w:t>
      </w:r>
    </w:p>
    <w:p>
      <w:r>
        <w:t>Hinweise auf moegliche Verstoesse koennen ueber das vertrauliche Hinweisgebersystem 'SPEAK-UP@BTP' (extern gehostet, EQS Group AG) anonym oder offen erfolgen. Telefon-Hotline +49 800 555 33 22 (24/7). Es gelten die Regeln des HinSchG; Repression gegen meldende Personen ist verboten.</w:t>
      </w:r>
    </w:p>
    <w:p>
      <w:pPr>
        <w:pStyle w:val="Heading3"/>
      </w:pPr>
      <w:r>
        <w:t>Verantwortlich</w:t>
      </w:r>
    </w:p>
    <w:p>
      <w:r>
        <w:t>Compliance Officer Andrea Schneider.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