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Sanktionslisten-Screening-Richtlinie</w:t>
      </w:r>
    </w:p>
    <w:p>
      <w:pPr>
        <w:jc w:val="center"/>
      </w:pPr>
      <w:r>
        <w:t>Verbindlich ab 1. Januar 2024;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Vor jeder Geschaeftsbeziehung (Kunden, Lieferanten, Berater, externe Mitarbeitende) erfolgt ein Sanktionslisten-Screening gegen die einschlaegigen Listen: EU-Konsoldierte Liste, OFAC SDN List, UK HM Treasury Consolidated List, UN Security Council Consolidated List.</w:t>
      </w:r>
    </w:p>
    <w:p>
      <w:pPr>
        <w:pStyle w:val="ListBullet"/>
      </w:pPr>
      <w:r>
        <w:t>Tool: 'ComplyCube' Sanctions Screening; tagliche Aktualisierungen.</w:t>
      </w:r>
    </w:p>
    <w:p>
      <w:pPr>
        <w:pStyle w:val="ListBullet"/>
      </w:pPr>
      <w:r>
        <w:t>Treffer-Behandlung: bei Match wird der Geschaeftsvorgang gestoppt und sofort an Compliance Officer eskaliert. Pruefung durch externe Anwaltskanzlei Noerr.</w:t>
      </w:r>
    </w:p>
    <w:p>
      <w:pPr>
        <w:pStyle w:val="ListBullet"/>
      </w:pPr>
      <w:r>
        <w:t>Geographische Risikolaender: erhoehte Sorgfalt bei Russland, Belarus, Iran, Nordkorea, Syrien, Kuba; Geschaefte mit diesen Laendern grundsaetzlich nicht zulaessig (Ausnahme: humanitaere Lieferungen mit GF-Freigabe).</w:t>
      </w:r>
    </w:p>
    <w:p>
      <w:pPr>
        <w:pStyle w:val="ListBullet"/>
      </w:pPr>
      <w:r>
        <w:t>Schulung Vertrieb / Aussendienst / Einkauf jaehrlich verpflichtend.</w:t>
      </w:r>
    </w:p>
    <w:p>
      <w:pPr>
        <w:pStyle w:val="ListBullet"/>
      </w:pPr>
      <w:r>
        <w:t>Audit-Trail: Screening-Ergebnisse werden 7 Jahre archiviert (BAFA-Anforderungen).</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Compliance Officer Andrea Schneider; technische Umsetzung IT-Leitung Markus Helmer.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