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Social Media Policy</w:t>
      </w:r>
    </w:p>
    <w:p>
      <w:pPr>
        <w:jc w:val="center"/>
      </w:pPr>
      <w:r>
        <w:t>Verbindlich ab 1. Februar 2024; Anwendung in der gesamten BTP-Gruppe</w:t>
      </w:r>
    </w:p>
    <w:p/>
    <w:p>
      <w:pPr>
        <w:pStyle w:val="Heading3"/>
      </w:pPr>
      <w:r>
        <w:t>Geltungsbereich</w:t>
      </w:r>
    </w:p>
    <w:p>
      <w:r>
        <w:t>Diese Richtlinie gilt fuer alle Beschaeftigten, Geschaeftsfuehrungsmitglieder, Praktikanten, Werkstudierenden und Leihkraefte der Sentavia Precision GmbH sowie deren Tochtergesellschaften (Sentavia Precision France S.A.S.). Sie ist auch von Dienstleistern, Beratern und Lieferanten zu beachten, soweit sie in den Geschaeftsraeumen oder im Auftrag der Gesellschaft taetig sind.</w:t>
      </w:r>
    </w:p>
    <w:p>
      <w:pPr>
        <w:pStyle w:val="Heading3"/>
      </w:pPr>
      <w:r>
        <w:t>Wesentliche Regelungen</w:t>
      </w:r>
    </w:p>
    <w:p>
      <w:pPr>
        <w:pStyle w:val="ListBullet"/>
      </w:pPr>
      <w:r>
        <w:t>Die Mueller-Maschinenbau, vertreten durch Mitarbeitende, sowie der offizielle BTP-Auftritt auf LinkedIn / Xing / YouTube / Twitter sind professionell und sachlich zu betreiben.</w:t>
      </w:r>
    </w:p>
    <w:p>
      <w:pPr>
        <w:pStyle w:val="ListBullet"/>
      </w:pPr>
      <w:r>
        <w:t>Persoenliche Aeusserungen ueber das Unternehmen, Patient:innen, Studienergebnisse oder Wettbewerber sind ohne Freigabe der PR-Abteilung untersagt.</w:t>
      </w:r>
    </w:p>
    <w:p>
      <w:pPr>
        <w:pStyle w:val="ListBullet"/>
      </w:pPr>
      <w:r>
        <w:t>Werbung gegenueber Patient:innen mit Aussagen ueber konkrete Heilerfolge ist HWG-konform zu pruefen.</w:t>
      </w:r>
    </w:p>
    <w:p>
      <w:pPr>
        <w:pStyle w:val="ListBullet"/>
      </w:pPr>
      <w:r>
        <w:t>Klinische Daten oder Pruefergebnisse duerfen NICHT vor offizieller Publikation kommuniziert werden (Embargo-Pflicht).</w:t>
      </w:r>
    </w:p>
    <w:p>
      <w:pPr>
        <w:pStyle w:val="ListBullet"/>
      </w:pPr>
      <w:r>
        <w:t>Tags / Markierungen von Aerzt:innen / KOLs nur mit deren expliziter Zustimmung.</w:t>
      </w:r>
    </w:p>
    <w:p>
      <w:pPr>
        <w:pStyle w:val="ListBullet"/>
      </w:pPr>
      <w:r>
        <w:t>Verstoesse werden im Rahmen der Antikorruptions- / Compliance-Verfahren geahndet; in schweren Faellen rechtliche Schritte.</w:t>
      </w:r>
    </w:p>
    <w:p>
      <w:pPr>
        <w:pStyle w:val="ListBullet"/>
      </w:pPr>
      <w:r>
        <w:t>Schulung Marketing, Vertrieb, GF / C-Level jaehrlich.</w:t>
      </w:r>
    </w:p>
    <w:p>
      <w:pPr>
        <w:pStyle w:val="Heading3"/>
      </w:pPr>
      <w:r>
        <w:t>Schulung und Compliance</w:t>
      </w:r>
    </w:p>
    <w:p>
      <w:r>
        <w:t>Alle Mitarbeitenden werden jaehrlich verpflichtend zu dieser Richtlinie geschult (e-Learning, Dauer ca. 25 Min.) und bestaetigen die Kenntnisnahme per Klick. Vertriebs- und Aussendienstmitarbeitende sowie die Geschaeftsfuehrung erhalten zusaetzlich jaehrlich eine Praesenzschulung.</w:t>
      </w:r>
    </w:p>
    <w:p>
      <w:pPr>
        <w:pStyle w:val="Heading3"/>
      </w:pPr>
      <w:r>
        <w:t>Hinweisgebersystem</w:t>
      </w:r>
    </w:p>
    <w:p>
      <w:r>
        <w:t>Hinweise auf moegliche Verstoesse koennen ueber das vertrauliche Hinweisgebersystem 'SPEAK-UP@BTP' (extern gehostet, EQS Group AG) anonym oder offen erfolgen. Telefon-Hotline +49 800 555 33 22 (24/7). Es gelten die Regeln des HinSchG; Repression gegen meldende Personen ist verboten.</w:t>
      </w:r>
    </w:p>
    <w:p>
      <w:pPr>
        <w:pStyle w:val="Heading3"/>
      </w:pPr>
      <w:r>
        <w:t>Verantwortlich</w:t>
      </w:r>
    </w:p>
    <w:p>
      <w:r>
        <w:t>Marketing-Leitung Felix Schmidt; Compliance Officer Andrea Schneider.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