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  |  HRB 218934,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DSGVO-Einwilligungsprozess (intern)</w:t>
      </w:r>
    </w:p>
    <w:p>
      <w:pPr>
        <w:jc w:val="center"/>
      </w:pPr>
      <w:r>
        <w:t>Beschreibung des Einwilligungsmanagements gemaess Art. 7 DSGVO</w:t>
      </w:r>
    </w:p>
    <w:p/>
    <w:p>
      <w:pPr>
        <w:pStyle w:val="Heading3"/>
      </w:pPr>
      <w:r>
        <w:t>Zweck</w:t>
      </w:r>
    </w:p>
    <w:p>
      <w:r>
        <w:t>Diese Verfahrensanweisung regelt den Einwilligungsprozess fuer Verarbeitungstaetigkeiten der Sentavia Precision GmbH, die auf Art. 6 Abs. 1 lit. a DSGVO (Einwilligung) gestuetzt sind. Anwendungsbereiche: Marketing-Newsletter, Bewerbungsverfahren (laengere Aufbewahrung), klinische Studien (im Rahmen ICH GCP), Mitarbeiter-Foto-Veroeffentlichungen.</w:t>
      </w:r>
    </w:p>
    <w:p>
      <w:pPr>
        <w:pStyle w:val="Heading3"/>
      </w:pPr>
      <w:r>
        <w:t>Anforderungen an die Einwilligung</w:t>
      </w:r>
    </w:p>
    <w:p>
      <w:pPr>
        <w:pStyle w:val="ListBullet"/>
      </w:pPr>
      <w:r>
        <w:t>Freiwilligkeit: keine Kopplung an Vertragserfuellung (es sei denn unbedingt erforderlich).</w:t>
      </w:r>
    </w:p>
    <w:p>
      <w:pPr>
        <w:pStyle w:val="ListBullet"/>
      </w:pPr>
      <w:r>
        <w:t>Informiertheit: klare Information ueber Zweck, Datenverarbeiter, Dauer, Widerrufsmoeglichkeit.</w:t>
      </w:r>
    </w:p>
    <w:p>
      <w:pPr>
        <w:pStyle w:val="ListBullet"/>
      </w:pPr>
      <w:r>
        <w:t>Bestimmtheit: Einwilligung muss zweckbezogen sein (kein 'Block-Consent').</w:t>
      </w:r>
    </w:p>
    <w:p>
      <w:pPr>
        <w:pStyle w:val="ListBullet"/>
      </w:pPr>
      <w:r>
        <w:t>Eindeutigkeit: aktive Handlung (z. B. Anklicken eines Kontrollkaestchens); kein Opt-Out.</w:t>
      </w:r>
    </w:p>
    <w:p>
      <w:pPr>
        <w:pStyle w:val="ListBullet"/>
      </w:pPr>
      <w:r>
        <w:t>Schriftform empfehlenswert (Online: Tracking der Einwilligungstransaktion mit Zeitstempel).</w:t>
      </w:r>
    </w:p>
    <w:p>
      <w:pPr>
        <w:pStyle w:val="Heading3"/>
      </w:pPr>
      <w:r>
        <w:t>Prozess</w:t>
      </w:r>
    </w:p>
    <w:p>
      <w:r>
        <w:t>Schritt 1: Identifikation der Verarbeitung (durch verantwortlichen Fachbereich). Schritt 2: Erstellung des Einwilligungstextes durch DSB; rechtliche Pruefung. Schritt 3: Technische Implementierung im jeweiligen Tool (Mailchimp Newsletter, Workday Bewerbung, REDCap Studie). Schritt 4: Speicherung der Einwilligung mit Zeitstempel und IP-Adresse (gemaess Beweislast). Schritt 5: Widerrufsmoeglichkeit jederzeit muehelos (One-Click-Unsubscribe).</w:t>
      </w:r>
    </w:p>
    <w:p>
      <w:r>
        <w:t>Verantwortlich: DSB Dr. Markus Lehmann; technische Umsetzung IT-Leitung Markus Helmer.</w:t>
      </w:r>
    </w:p>
    <w:p>
      <w:pPr>
        <w:pStyle w:val="Heading3"/>
      </w:pPr>
      <w:r>
        <w:t>Audit-Trail</w:t>
      </w:r>
    </w:p>
    <w:p>
      <w:r>
        <w:t>Saemtliche Einwilligungen werden im DSB-Audit-Tool dokumentiert. Loeschung erfolgt automatisch 12 Monate nach Widerruf bzw. Zweckwegfall.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