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Hinweisgebersystem-Richtlinie (HinSchG)</w:t>
      </w:r>
    </w:p>
    <w:p>
      <w:pPr>
        <w:jc w:val="center"/>
      </w:pPr>
      <w:r>
        <w:t>Umsetzung des Hinweisgeberschutzgesetzes; in Kraft ab 17. Dezember 2023</w:t>
      </w:r>
    </w:p>
    <w:p/>
    <w:p>
      <w:pPr>
        <w:pStyle w:val="Heading3"/>
      </w:pPr>
      <w:r>
        <w:t>Zweck</w:t>
      </w:r>
    </w:p>
    <w:p>
      <w:r>
        <w:t>Diese Richtlinie regelt das interne Hinweisgebersystem 'SPEAK-UP@BTP' der Sentavia Precision GmbH gemaess Hinweisgeberschutzgesetz (HinSchG, in Kraft seit 02.07.2023). Die Pflicht zur Einrichtung eines Meldekanals besteht aufgrund der Mitarbeiterzahl ab 50 Mitarbeitenden (BTP zaehlt &gt; 600).</w:t>
      </w:r>
    </w:p>
    <w:p>
      <w:pPr>
        <w:pStyle w:val="Heading3"/>
      </w:pPr>
      <w:r>
        <w:t>Meldemoeglichkeiten</w:t>
      </w:r>
    </w:p>
    <w:p>
      <w:pPr>
        <w:pStyle w:val="ListBullet"/>
      </w:pPr>
      <w:r>
        <w:t>Web-Formular: https://speakup-btp.eqs.com (anonym oder offen)</w:t>
      </w:r>
    </w:p>
    <w:p>
      <w:pPr>
        <w:pStyle w:val="ListBullet"/>
      </w:pPr>
      <w:r>
        <w:t>Telefon-Hotline: +49 800 555 33 22 (24/7, mehrsprachig: DE/EN/FR)</w:t>
      </w:r>
    </w:p>
    <w:p>
      <w:pPr>
        <w:pStyle w:val="ListBullet"/>
      </w:pPr>
      <w:r>
        <w:t>Persoenliche Meldung beim Compliance Officer Andrea Schneider (Termin via compliance@sentavia-precision.de)</w:t>
      </w:r>
    </w:p>
    <w:p>
      <w:pPr>
        <w:pStyle w:val="ListBullet"/>
      </w:pPr>
      <w:r>
        <w:t>Schriftlich postalisch an: Sentavia Precision GmbH, z. Hd. Compliance, Freimannstrasse 45, 80939 Muenchen</w:t>
      </w:r>
    </w:p>
    <w:p>
      <w:pPr>
        <w:pStyle w:val="Heading3"/>
      </w:pPr>
      <w:r>
        <w:t>Gewaehrleistung</w:t>
      </w:r>
    </w:p>
    <w:p>
      <w:r>
        <w:t>(a) Vertraulichkeit der Identitaet der hinweisgebenden Person; (b) Anonyme Meldungen sind moeglich; (c) Schutz vor Repressalien (Versetzung, Kuendigung, Diskriminierung); (d) Beweisumkehr bei behaupteten Repressalien; (e) Verbot von Geheimhaltungsklauseln, die das Recht zur Meldung beschneiden.</w:t>
      </w:r>
    </w:p>
    <w:p>
      <w:pPr>
        <w:pStyle w:val="Heading3"/>
      </w:pPr>
      <w:r>
        <w:t>Bearbeitung</w:t>
      </w:r>
    </w:p>
    <w:p>
      <w:r>
        <w:t>Meldungen werden binnen 7 Tagen bestaetigt. Erste Rueckmeldung zur Bearbeitung erfolgt binnen 3 Monaten. Pruefung durch unabhaengigen Compliance Officer; bei Verdacht auf schwere Vergehen Einschaltung externer Anwaltskanzlei Noerr und ggfs. Behoerden. Dokumentation gemaess HinSchG-Anforderungen (5-Jahres-Aufbewahrung).</w:t>
      </w:r>
    </w:p>
    <w:p>
      <w:pPr>
        <w:pStyle w:val="Heading3"/>
      </w:pPr>
      <w:r>
        <w:t>Externe Meldestellen</w:t>
      </w:r>
    </w:p>
    <w:p>
      <w:r>
        <w:t>BAFin (Finanzaufsicht), BAFA (Aussenhandel), BKartA (Kartell), Bundesamt fuer Justiz, Datenschutzbehoerden. Hinweisgebende Personen koennen sich auch direkt an diese externen Stellen wenden, ohne Pflicht zur vorherigen internen Meldung.</w:t>
      </w:r>
    </w:p>
    <w:p>
      <w:pPr>
        <w:pStyle w:val="Heading3"/>
      </w:pPr>
      <w:r>
        <w:t>Verantwortlich</w:t>
      </w:r>
    </w:p>
    <w:p>
      <w:r>
        <w:t>Compliance Officer Andrea Schneider; externe technische Plattform EQS Group AG; externe rechtliche Beratung Noerr PartGmbB.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