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Businessplan 2024–2028</w:t>
      </w:r>
    </w:p>
    <w:p>
      <w:pPr>
        <w:jc w:val="center"/>
      </w:pPr>
      <w:r>
        <w:t>Sentavia Precision GmbH – Strategische Planung</w:t>
      </w:r>
    </w:p>
    <w:p/>
    <w:p>
      <w:pPr>
        <w:pStyle w:val="Heading3"/>
      </w:pPr>
      <w:r>
        <w:t>1. Executive Summary</w:t>
      </w:r>
    </w:p>
    <w:p>
      <w:r>
        <w:t>Sentavia Precision GmbH ist ein führender Hersteller von Medizinprodukten der Klassen IIa und IIb sowie IVD-Klasse-C-Diagnostika mit Sitz in München. Das Unternehmen erzielte 2023 einen Umsatz von 87.200.000 EUR bei einer EBITDA-Marge von 14.2 %.</w:t>
      </w:r>
    </w:p>
    <w:p>
      <w:r>
        <w:t>Strategische Ziele bis 2028: (1) Wachstum des Umsatzes auf EUR 200 Mio.; (2) Ausweitung der geographischen Präsenz auf Nordamerika und Südostasien; (3) Einführung von 2 neuen Produkten (NextGen Cardevio und AI-Diagnostik); (4) Möglicher IPO-Readiness-Prozess bis 2027.</w:t>
      </w:r>
    </w:p>
    <w:p>
      <w:pPr>
        <w:pStyle w:val="Heading3"/>
      </w:pPr>
      <w:r>
        <w:t>2. Markt und Wettbewerb</w:t>
      </w:r>
    </w:p>
    <w:p>
      <w:r>
        <w:t>Der globale Markt für diagnostische Medizinprodukte wächst mit ca. 8 % p.a. (Quelle: GlobalData 2023). Treiber: Alternde Bevölkerung, zunehmende chronische Erkrankungen, Digitalisierung im Gesundheitswesen, Präzisionsmedizin.</w:t>
      </w:r>
    </w:p>
    <w:p>
      <w:r>
        <w:t>Wettbewerber: Philips Healthcare, GE HealthCare, Siemens Healthineers (Hauptsegment), Roper Technologies, Drägerwerk AG. Die {C['name']} differenziert sich durch überlegene Sensortechnologie, MDR-optimierte Plattform und Service-Exzellenz.</w:t>
      </w:r>
    </w:p>
    <w:p>
      <w:pPr>
        <w:pStyle w:val="Heading3"/>
      </w:pPr>
      <w:r>
        <w:t>3. Wachstumsstrategie</w:t>
      </w:r>
    </w:p>
    <w:p>
      <w:r>
        <w:t>Geografische Expansion: Aufbau einer US-Tochtergesellschaft (BTP MedTech Inc.) im Jahr 2025. FDA 510(k)-Zulassung für Cardevio Pro bis Q2 2025 angestrebt. Markteintritt Südostasien über Partnerdistributoren ab 2026.</w:t>
      </w:r>
    </w:p>
    <w:p>
      <w:r>
        <w:t>Produktinnovation: Investition von EUR 15 Mio. p.a. in F&amp;E. Kernprojekte: NextGen Cardevio mit KI-Integration, erweitertes Veridiq SARS-Flex 2.0, neue Produktklasse: miniaturisierte Wearable-Diagnostik.</w:t>
      </w:r>
    </w:p>
    <w:p>
      <w:r>
        <w:t>M&amp;A-Strategie: Akquisition eines Softwareunternehmens im Bereich medical AI (Budget: EUR 20–40 Mio.) bis 2025; Aufbau eines eigenen Digital Health-Ökosystems.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