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CC0000"/>
        </w:rPr>
        <w:t>VERTRAULICH – STRENG VERTRAULICH / STRICTLY CONFIDENTIAL</w:t>
      </w:r>
    </w:p>
    <w:p>
      <w:pPr>
        <w:pStyle w:val="Heading1"/>
      </w:pPr>
      <w:r>
        <w:t>Halbreiter Maschinenbau GmbH</w:t>
      </w:r>
    </w:p>
    <w:p>
      <w:r>
        <w:rPr>
          <w:sz w:val="18"/>
        </w:rPr>
        <w:t>Industriestraße 12, 50829 Köln  |  HRB 47312, Amtsgericht Köln</w:t>
      </w:r>
    </w:p>
    <w:p>
      <w:r>
        <w:t>────────────────────────────────────────────────────────────────────────────────</w:t>
      </w:r>
    </w:p>
    <w:p>
      <w:pPr>
        <w:pStyle w:val="Heading2"/>
      </w:pPr>
      <w:r>
        <w:t>Unternehmensuebersicht Due Diligence – Index</w:t>
      </w:r>
    </w:p>
    <w:p/>
    <w:p>
      <w:pPr>
        <w:pStyle w:val="Heading3"/>
      </w:pPr>
      <w:r>
        <w:t>Zweck dieses Datenraum-Index</w:t>
      </w:r>
    </w:p>
    <w:p>
      <w:r>
        <w:t>Dieses Dokument fasst den Aufbau, die Gliederung und die Struktur des Due-Diligence-Datenraums der Halbreiter Maschinenbau GmbH zusammen. Der Datenraum wird im Rahmen einer Vendor Due Diligence durch die Geschaeftsfuehrung der Halbreiter Maschinenbau GmbH bereitgestellt und richtet sich an potentielle Investoren, Wirtschaftspruefer (BDO AG WPG) sowie die beratenden Rechtsanwaelte (Heuking Kuehn Lueer Wojtek). Der Bearbeitungsstand entspricht dem Stichtag 31. Dezember 2023; Aktualisierungen werden durch Sandra Becker (CFO) freigegeben und in der Versionshistorie am Ende dieses Dokumentes dokumentiert.</w:t>
      </w:r>
    </w:p>
    <w:p>
      <w:pPr>
        <w:pStyle w:val="Heading3"/>
      </w:pPr>
      <w:r>
        <w:t>Unternehmensdaten im Ueberblick</w:t>
      </w:r>
    </w:p>
    <w:tbl>
      <w:tblPr>
        <w:tblStyle w:val="TableGrid"/>
        <w:tblW w:type="auto" w:w="0"/>
        <w:tblLook w:firstColumn="1" w:firstRow="1" w:lastColumn="0" w:lastRow="0" w:noHBand="0" w:noVBand="1" w:val="04A0"/>
      </w:tblPr>
      <w:tblGrid>
        <w:gridCol w:w="4320"/>
        <w:gridCol w:w="4320"/>
      </w:tblGrid>
      <w:tr>
        <w:tc>
          <w:tcPr>
            <w:tcW w:type="dxa" w:w="4320"/>
          </w:tcPr>
          <w:p>
            <w:r>
              <w:t>Merkmal</w:t>
            </w:r>
          </w:p>
        </w:tc>
        <w:tc>
          <w:tcPr>
            <w:tcW w:type="dxa" w:w="4320"/>
          </w:tcPr>
          <w:p>
            <w:r>
              <w:t>Wert</w:t>
            </w:r>
          </w:p>
        </w:tc>
      </w:tr>
      <w:tr>
        <w:tc>
          <w:tcPr>
            <w:tcW w:type="dxa" w:w="4320"/>
          </w:tcPr>
          <w:p>
            <w:r>
              <w:t>Firma</w:t>
            </w:r>
          </w:p>
        </w:tc>
        <w:tc>
          <w:tcPr>
            <w:tcW w:type="dxa" w:w="4320"/>
          </w:tcPr>
          <w:p>
            <w:r>
              <w:t>Halbreiter Maschinenbau GmbH</w:t>
            </w:r>
          </w:p>
        </w:tc>
      </w:tr>
      <w:tr>
        <w:tc>
          <w:tcPr>
            <w:tcW w:type="dxa" w:w="4320"/>
          </w:tcPr>
          <w:p>
            <w:r>
              <w:t>Sitz</w:t>
            </w:r>
          </w:p>
        </w:tc>
        <w:tc>
          <w:tcPr>
            <w:tcW w:type="dxa" w:w="4320"/>
          </w:tcPr>
          <w:p>
            <w:r>
              <w:t>Industriestraße 12, 50829 Köln</w:t>
            </w:r>
          </w:p>
        </w:tc>
      </w:tr>
      <w:tr>
        <w:tc>
          <w:tcPr>
            <w:tcW w:type="dxa" w:w="4320"/>
          </w:tcPr>
          <w:p>
            <w:r>
              <w:t>Registergericht</w:t>
            </w:r>
          </w:p>
        </w:tc>
        <w:tc>
          <w:tcPr>
            <w:tcW w:type="dxa" w:w="4320"/>
          </w:tcPr>
          <w:p>
            <w:r>
              <w:t>HRB 47312, Amtsgericht Köln</w:t>
            </w:r>
          </w:p>
        </w:tc>
      </w:tr>
      <w:tr>
        <w:tc>
          <w:tcPr>
            <w:tcW w:type="dxa" w:w="4320"/>
          </w:tcPr>
          <w:p>
            <w:r>
              <w:t>USt-IdNr.</w:t>
            </w:r>
          </w:p>
        </w:tc>
        <w:tc>
          <w:tcPr>
            <w:tcW w:type="dxa" w:w="4320"/>
          </w:tcPr>
          <w:p>
            <w:r>
              <w:t>DE 198 765 432</w:t>
            </w:r>
          </w:p>
        </w:tc>
      </w:tr>
      <w:tr>
        <w:tc>
          <w:tcPr>
            <w:tcW w:type="dxa" w:w="4320"/>
          </w:tcPr>
          <w:p>
            <w:r>
              <w:t>Geschaeftsfuehrung</w:t>
            </w:r>
          </w:p>
        </w:tc>
        <w:tc>
          <w:tcPr>
            <w:tcW w:type="dxa" w:w="4320"/>
          </w:tcPr>
          <w:p>
            <w:r>
              <w:t>Klaus Müller (CEO), Sandra Becker (CFO)</w:t>
            </w:r>
          </w:p>
        </w:tc>
      </w:tr>
      <w:tr>
        <w:tc>
          <w:tcPr>
            <w:tcW w:type="dxa" w:w="4320"/>
          </w:tcPr>
          <w:p>
            <w:r>
              <w:t>Geschaeftszweck</w:t>
            </w:r>
          </w:p>
        </w:tc>
        <w:tc>
          <w:tcPr>
            <w:tcW w:type="dxa" w:w="4320"/>
          </w:tcPr>
          <w:p>
            <w:r>
              <w:t>Entwicklung, Herstellung und Vertrieb von Sondermaschinen und Anlagen für die metallverarbeitende Industrie</w:t>
            </w:r>
          </w:p>
        </w:tc>
      </w:tr>
      <w:tr>
        <w:tc>
          <w:tcPr>
            <w:tcW w:type="dxa" w:w="4320"/>
          </w:tcPr>
          <w:p>
            <w:r>
              <w:t>Umsatz 2023</w:t>
            </w:r>
          </w:p>
        </w:tc>
        <w:tc>
          <w:tcPr>
            <w:tcW w:type="dxa" w:w="4320"/>
          </w:tcPr>
          <w:p>
            <w:r>
              <w:t>48,63 Mio. EUR</w:t>
            </w:r>
          </w:p>
        </w:tc>
      </w:tr>
      <w:tr>
        <w:tc>
          <w:tcPr>
            <w:tcW w:type="dxa" w:w="4320"/>
          </w:tcPr>
          <w:p>
            <w:r>
              <w:t>EBITDA 2023</w:t>
            </w:r>
          </w:p>
        </w:tc>
        <w:tc>
          <w:tcPr>
            <w:tcW w:type="dxa" w:w="4320"/>
          </w:tcPr>
          <w:p>
            <w:r>
              <w:t>5,98 Mio. EUR</w:t>
            </w:r>
          </w:p>
        </w:tc>
      </w:tr>
      <w:tr>
        <w:tc>
          <w:tcPr>
            <w:tcW w:type="dxa" w:w="4320"/>
          </w:tcPr>
          <w:p>
            <w:r>
              <w:t>Mitarbeiter (FTE)</w:t>
            </w:r>
          </w:p>
        </w:tc>
        <w:tc>
          <w:tcPr>
            <w:tcW w:type="dxa" w:w="4320"/>
          </w:tcPr>
          <w:p>
            <w:r>
              <w:t>247</w:t>
            </w:r>
          </w:p>
        </w:tc>
      </w:tr>
      <w:tr>
        <w:tc>
          <w:tcPr>
            <w:tcW w:type="dxa" w:w="4320"/>
          </w:tcPr>
          <w:p>
            <w:r>
              <w:t>Wirtschaftspruefer</w:t>
            </w:r>
          </w:p>
        </w:tc>
        <w:tc>
          <w:tcPr>
            <w:tcW w:type="dxa" w:w="4320"/>
          </w:tcPr>
          <w:p>
            <w:r>
              <w:t>BDO AG Wirtschaftsprüfungsgesellschaft</w:t>
            </w:r>
          </w:p>
        </w:tc>
      </w:tr>
      <w:tr>
        <w:tc>
          <w:tcPr>
            <w:tcW w:type="dxa" w:w="4320"/>
          </w:tcPr>
          <w:p>
            <w:r>
              <w:t>Rechtsberater</w:t>
            </w:r>
          </w:p>
        </w:tc>
        <w:tc>
          <w:tcPr>
            <w:tcW w:type="dxa" w:w="4320"/>
          </w:tcPr>
          <w:p>
            <w:r>
              <w:t>Heuking Kühn Lüer Wojtek Partnerschaft mbB</w:t>
            </w:r>
          </w:p>
        </w:tc>
      </w:tr>
      <w:tr>
        <w:tc>
          <w:tcPr>
            <w:tcW w:type="dxa" w:w="4320"/>
          </w:tcPr>
          <w:p>
            <w:r>
              <w:t>Hausbank</w:t>
            </w:r>
          </w:p>
        </w:tc>
        <w:tc>
          <w:tcPr>
            <w:tcW w:type="dxa" w:w="4320"/>
          </w:tcPr>
          <w:p>
            <w:r>
              <w:t>Deutsche Bank AG, Filiale Köln</w:t>
            </w:r>
          </w:p>
        </w:tc>
      </w:tr>
    </w:tbl>
    <w:p>
      <w:pPr>
        <w:pStyle w:val="Heading3"/>
      </w:pPr>
      <w:r>
        <w:t>Gliederung des Datenraums</w:t>
      </w:r>
    </w:p>
    <w:tbl>
      <w:tblPr>
        <w:tblStyle w:val="TableGrid"/>
        <w:tblW w:type="auto" w:w="0"/>
        <w:tblLook w:firstColumn="1" w:firstRow="1" w:lastColumn="0" w:lastRow="0" w:noHBand="0" w:noVBand="1" w:val="04A0"/>
      </w:tblPr>
      <w:tblGrid>
        <w:gridCol w:w="2880"/>
        <w:gridCol w:w="2880"/>
        <w:gridCol w:w="2880"/>
      </w:tblGrid>
      <w:tr>
        <w:tc>
          <w:tcPr>
            <w:tcW w:type="dxa" w:w="2880"/>
          </w:tcPr>
          <w:p>
            <w:r>
              <w:t>Ordner</w:t>
            </w:r>
          </w:p>
        </w:tc>
        <w:tc>
          <w:tcPr>
            <w:tcW w:type="dxa" w:w="2880"/>
          </w:tcPr>
          <w:p>
            <w:r>
              <w:t>Inhalt</w:t>
            </w:r>
          </w:p>
        </w:tc>
        <w:tc>
          <w:tcPr>
            <w:tcW w:type="dxa" w:w="2880"/>
          </w:tcPr>
          <w:p>
            <w:r>
              <w:t>Status</w:t>
            </w:r>
          </w:p>
        </w:tc>
      </w:tr>
      <w:tr>
        <w:tc>
          <w:tcPr>
            <w:tcW w:type="dxa" w:w="2880"/>
          </w:tcPr>
          <w:p>
            <w:r>
              <w:t>00</w:t>
            </w:r>
          </w:p>
        </w:tc>
        <w:tc>
          <w:tcPr>
            <w:tcW w:type="dxa" w:w="2880"/>
          </w:tcPr>
          <w:p>
            <w:r>
              <w:t>Index, Inhaltsverzeichnis, Datenraumregeln</w:t>
            </w:r>
          </w:p>
        </w:tc>
        <w:tc>
          <w:tcPr>
            <w:tcW w:type="dxa" w:w="2880"/>
          </w:tcPr>
          <w:p>
            <w:r>
              <w:t>freigegeben</w:t>
            </w:r>
          </w:p>
        </w:tc>
      </w:tr>
      <w:tr>
        <w:tc>
          <w:tcPr>
            <w:tcW w:type="dxa" w:w="2880"/>
          </w:tcPr>
          <w:p>
            <w:r>
              <w:t>01</w:t>
            </w:r>
          </w:p>
        </w:tc>
        <w:tc>
          <w:tcPr>
            <w:tcW w:type="dxa" w:w="2880"/>
          </w:tcPr>
          <w:p>
            <w:r>
              <w:t>Gesellschaftsrechtliche Dokumente / Satzung / Gesellschafter</w:t>
            </w:r>
          </w:p>
        </w:tc>
        <w:tc>
          <w:tcPr>
            <w:tcW w:type="dxa" w:w="2880"/>
          </w:tcPr>
          <w:p>
            <w:r>
              <w:t>freigegeben</w:t>
            </w:r>
          </w:p>
        </w:tc>
      </w:tr>
      <w:tr>
        <w:tc>
          <w:tcPr>
            <w:tcW w:type="dxa" w:w="2880"/>
          </w:tcPr>
          <w:p>
            <w:r>
              <w:t>02</w:t>
            </w:r>
          </w:p>
        </w:tc>
        <w:tc>
          <w:tcPr>
            <w:tcW w:type="dxa" w:w="2880"/>
          </w:tcPr>
          <w:p>
            <w:r>
              <w:t>Finanzen, Jahresabschluesse, Buchhaltung, Bilanzanhang</w:t>
            </w:r>
          </w:p>
        </w:tc>
        <w:tc>
          <w:tcPr>
            <w:tcW w:type="dxa" w:w="2880"/>
          </w:tcPr>
          <w:p>
            <w:r>
              <w:t>freigegeben</w:t>
            </w:r>
          </w:p>
        </w:tc>
      </w:tr>
      <w:tr>
        <w:tc>
          <w:tcPr>
            <w:tcW w:type="dxa" w:w="2880"/>
          </w:tcPr>
          <w:p>
            <w:r>
              <w:t>03</w:t>
            </w:r>
          </w:p>
        </w:tc>
        <w:tc>
          <w:tcPr>
            <w:tcW w:type="dxa" w:w="2880"/>
          </w:tcPr>
          <w:p>
            <w:r>
              <w:t>Personal / HR (anonymisierte Personalakten, Tarif, BV)</w:t>
            </w:r>
          </w:p>
        </w:tc>
        <w:tc>
          <w:tcPr>
            <w:tcW w:type="dxa" w:w="2880"/>
          </w:tcPr>
          <w:p>
            <w:r>
              <w:t>freigegeben</w:t>
            </w:r>
          </w:p>
        </w:tc>
      </w:tr>
      <w:tr>
        <w:tc>
          <w:tcPr>
            <w:tcW w:type="dxa" w:w="2880"/>
          </w:tcPr>
          <w:p>
            <w:r>
              <w:t>04</w:t>
            </w:r>
          </w:p>
        </w:tc>
        <w:tc>
          <w:tcPr>
            <w:tcW w:type="dxa" w:w="2880"/>
          </w:tcPr>
          <w:p>
            <w:r>
              <w:t>Vertraege mit Kunden (Rahmenvertraege, AB, Rechnungen)</w:t>
            </w:r>
          </w:p>
        </w:tc>
        <w:tc>
          <w:tcPr>
            <w:tcW w:type="dxa" w:w="2880"/>
          </w:tcPr>
          <w:p>
            <w:r>
              <w:t>freigegeben</w:t>
            </w:r>
          </w:p>
        </w:tc>
      </w:tr>
      <w:tr>
        <w:tc>
          <w:tcPr>
            <w:tcW w:type="dxa" w:w="2880"/>
          </w:tcPr>
          <w:p>
            <w:r>
              <w:t>05</w:t>
            </w:r>
          </w:p>
        </w:tc>
        <w:tc>
          <w:tcPr>
            <w:tcW w:type="dxa" w:w="2880"/>
          </w:tcPr>
          <w:p>
            <w:r>
              <w:t>Vertraege mit Lieferanten (Bestellungen, Eingangsrechnungen)</w:t>
            </w:r>
          </w:p>
        </w:tc>
        <w:tc>
          <w:tcPr>
            <w:tcW w:type="dxa" w:w="2880"/>
          </w:tcPr>
          <w:p>
            <w:r>
              <w:t>freigegeben</w:t>
            </w:r>
          </w:p>
        </w:tc>
      </w:tr>
      <w:tr>
        <w:tc>
          <w:tcPr>
            <w:tcW w:type="dxa" w:w="2880"/>
          </w:tcPr>
          <w:p>
            <w:r>
              <w:t>06</w:t>
            </w:r>
          </w:p>
        </w:tc>
        <w:tc>
          <w:tcPr>
            <w:tcW w:type="dxa" w:w="2880"/>
          </w:tcPr>
          <w:p>
            <w:r>
              <w:t>Immobilien (Eigentum, Miete, Grundrisse, Versicherungen)</w:t>
            </w:r>
          </w:p>
        </w:tc>
        <w:tc>
          <w:tcPr>
            <w:tcW w:type="dxa" w:w="2880"/>
          </w:tcPr>
          <w:p>
            <w:r>
              <w:t>freigegeben</w:t>
            </w:r>
          </w:p>
        </w:tc>
      </w:tr>
      <w:tr>
        <w:tc>
          <w:tcPr>
            <w:tcW w:type="dxa" w:w="2880"/>
          </w:tcPr>
          <w:p>
            <w:r>
              <w:t>07</w:t>
            </w:r>
          </w:p>
        </w:tc>
        <w:tc>
          <w:tcPr>
            <w:tcW w:type="dxa" w:w="2880"/>
          </w:tcPr>
          <w:p>
            <w:r>
              <w:t>IP / Lizenzen / Patente / Software-Subscriptions</w:t>
            </w:r>
          </w:p>
        </w:tc>
        <w:tc>
          <w:tcPr>
            <w:tcW w:type="dxa" w:w="2880"/>
          </w:tcPr>
          <w:p>
            <w:r>
              <w:t>freigegeben</w:t>
            </w:r>
          </w:p>
        </w:tc>
      </w:tr>
      <w:tr>
        <w:tc>
          <w:tcPr>
            <w:tcW w:type="dxa" w:w="2880"/>
          </w:tcPr>
          <w:p>
            <w:r>
              <w:t>08</w:t>
            </w:r>
          </w:p>
        </w:tc>
        <w:tc>
          <w:tcPr>
            <w:tcW w:type="dxa" w:w="2880"/>
          </w:tcPr>
          <w:p>
            <w:r>
              <w:t>Versicherungen (Police-Spiegel, Schadensmeldungen)</w:t>
            </w:r>
          </w:p>
        </w:tc>
        <w:tc>
          <w:tcPr>
            <w:tcW w:type="dxa" w:w="2880"/>
          </w:tcPr>
          <w:p>
            <w:r>
              <w:t>freigegeben</w:t>
            </w:r>
          </w:p>
        </w:tc>
      </w:tr>
      <w:tr>
        <w:tc>
          <w:tcPr>
            <w:tcW w:type="dxa" w:w="2880"/>
          </w:tcPr>
          <w:p>
            <w:r>
              <w:t>09</w:t>
            </w:r>
          </w:p>
        </w:tc>
        <w:tc>
          <w:tcPr>
            <w:tcW w:type="dxa" w:w="2880"/>
          </w:tcPr>
          <w:p>
            <w:r>
              <w:t>Compliance / Audits / Zertifikate / Datenschutz</w:t>
            </w:r>
          </w:p>
        </w:tc>
        <w:tc>
          <w:tcPr>
            <w:tcW w:type="dxa" w:w="2880"/>
          </w:tcPr>
          <w:p>
            <w:r>
              <w:t>freigegeben</w:t>
            </w:r>
          </w:p>
        </w:tc>
      </w:tr>
      <w:tr>
        <w:tc>
          <w:tcPr>
            <w:tcW w:type="dxa" w:w="2880"/>
          </w:tcPr>
          <w:p>
            <w:r>
              <w:t>10</w:t>
            </w:r>
          </w:p>
        </w:tc>
        <w:tc>
          <w:tcPr>
            <w:tcW w:type="dxa" w:w="2880"/>
          </w:tcPr>
          <w:p>
            <w:r>
              <w:t>IT-Infrastruktur und Informationssicherheit</w:t>
            </w:r>
          </w:p>
        </w:tc>
        <w:tc>
          <w:tcPr>
            <w:tcW w:type="dxa" w:w="2880"/>
          </w:tcPr>
          <w:p>
            <w:r>
              <w:t>freigegeben</w:t>
            </w:r>
          </w:p>
        </w:tc>
      </w:tr>
      <w:tr>
        <w:tc>
          <w:tcPr>
            <w:tcW w:type="dxa" w:w="2880"/>
          </w:tcPr>
          <w:p>
            <w:r>
              <w:t>11</w:t>
            </w:r>
          </w:p>
        </w:tc>
        <w:tc>
          <w:tcPr>
            <w:tcW w:type="dxa" w:w="2880"/>
          </w:tcPr>
          <w:p>
            <w:r>
              <w:t>Strategie, Planung, Beirats- und Geschaeftsfuehrerprotokolle</w:t>
            </w:r>
          </w:p>
        </w:tc>
        <w:tc>
          <w:tcPr>
            <w:tcW w:type="dxa" w:w="2880"/>
          </w:tcPr>
          <w:p>
            <w:r>
              <w:t>freigegeben</w:t>
            </w:r>
          </w:p>
        </w:tc>
      </w:tr>
    </w:tbl>
    <w:p>
      <w:pPr>
        <w:pStyle w:val="Heading3"/>
      </w:pPr>
      <w:r>
        <w:t>Verbindlichkeit und Vertraulichkeit</w:t>
      </w:r>
    </w:p>
    <w:p>
      <w:r>
        <w:t>Saemtliche Dokumente unterliegen einer Vertraulichkeitsvereinbarung (NDA) zwischen den Parteien. Der Datenraum wird ueber den Anbieter Datasite/Drooms gehostet; Logins werden personenbezogen vergeben. Eine Vervielfaeltigung oder Weitergabe an Dritte ist ohne ausdrueckliche Zustimmung der Halbreiter Maschinenbau GmbH unzulaessig. Anfragen sind ueber den Q&amp;A-Tracker des Datenraums zu stellen und werden binnen 48 Stunden durch die Geschaeftsfuehrung oder den jeweils zustaendigen Bereichsleiter beantwortet.</w:t>
      </w:r>
    </w:p>
    <w:p>
      <w:pPr>
        <w:pStyle w:val="Heading3"/>
      </w:pPr>
      <w:r>
        <w:t>Ansprechpartner Datenraum</w:t>
      </w:r>
    </w:p>
    <w:p>
      <w:r>
        <w:t>Datenraummanagement: Sandra Becker (CFO) – s.becker@halbreiter-maschinenbau.de</w:t>
        <w:br/>
        <w:t>Vertraulichkeit / Legal: Heuking Kuehn Lueer Wojtek, Frau RAin Dr. Beatrice Klein</w:t>
        <w:br/>
        <w:t>Tax / Wirtschaftspruefung: BDO AG WPG, Herr Dipl.-Kfm. Joachim Steger</w:t>
      </w:r>
    </w:p>
    <w:p>
      <w:pPr>
        <w:pStyle w:val="Heading3"/>
      </w:pPr>
      <w:r>
        <w:t>Versionshistorie</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Version</w:t>
            </w:r>
          </w:p>
        </w:tc>
        <w:tc>
          <w:tcPr>
            <w:tcW w:type="dxa" w:w="2160"/>
          </w:tcPr>
          <w:p>
            <w:r>
              <w:t>Datum</w:t>
            </w:r>
          </w:p>
        </w:tc>
        <w:tc>
          <w:tcPr>
            <w:tcW w:type="dxa" w:w="2160"/>
          </w:tcPr>
          <w:p>
            <w:r>
              <w:t>Bearbeitung</w:t>
            </w:r>
          </w:p>
        </w:tc>
        <w:tc>
          <w:tcPr>
            <w:tcW w:type="dxa" w:w="2160"/>
          </w:tcPr>
          <w:p>
            <w:r>
              <w:t>Aenderung</w:t>
            </w:r>
          </w:p>
        </w:tc>
      </w:tr>
      <w:tr>
        <w:tc>
          <w:tcPr>
            <w:tcW w:type="dxa" w:w="2160"/>
          </w:tcPr>
          <w:p>
            <w:r>
              <w:t>1.0</w:t>
            </w:r>
          </w:p>
        </w:tc>
        <w:tc>
          <w:tcPr>
            <w:tcW w:type="dxa" w:w="2160"/>
          </w:tcPr>
          <w:p>
            <w:r>
              <w:t>15.01.2024</w:t>
            </w:r>
          </w:p>
        </w:tc>
        <w:tc>
          <w:tcPr>
            <w:tcW w:type="dxa" w:w="2160"/>
          </w:tcPr>
          <w:p>
            <w:r>
              <w:t>Sandra Becker</w:t>
            </w:r>
          </w:p>
        </w:tc>
        <w:tc>
          <w:tcPr>
            <w:tcW w:type="dxa" w:w="2160"/>
          </w:tcPr>
          <w:p>
            <w:r>
              <w:t>Initiale Befuellung</w:t>
            </w:r>
          </w:p>
        </w:tc>
      </w:tr>
      <w:tr>
        <w:tc>
          <w:tcPr>
            <w:tcW w:type="dxa" w:w="2160"/>
          </w:tcPr>
          <w:p>
            <w:r>
              <w:t>1.1</w:t>
            </w:r>
          </w:p>
        </w:tc>
        <w:tc>
          <w:tcPr>
            <w:tcW w:type="dxa" w:w="2160"/>
          </w:tcPr>
          <w:p>
            <w:r>
              <w:t>08.02.2024</w:t>
            </w:r>
          </w:p>
        </w:tc>
        <w:tc>
          <w:tcPr>
            <w:tcW w:type="dxa" w:w="2160"/>
          </w:tcPr>
          <w:p>
            <w:r>
              <w:t>Sandra Becker</w:t>
            </w:r>
          </w:p>
        </w:tc>
        <w:tc>
          <w:tcPr>
            <w:tcW w:type="dxa" w:w="2160"/>
          </w:tcPr>
          <w:p>
            <w:r>
              <w:t>Ordner 02/04 aktualisiert</w:t>
            </w:r>
          </w:p>
        </w:tc>
      </w:tr>
      <w:tr>
        <w:tc>
          <w:tcPr>
            <w:tcW w:type="dxa" w:w="2160"/>
          </w:tcPr>
          <w:p>
            <w:r>
              <w:t>1.2</w:t>
            </w:r>
          </w:p>
        </w:tc>
        <w:tc>
          <w:tcPr>
            <w:tcW w:type="dxa" w:w="2160"/>
          </w:tcPr>
          <w:p>
            <w:r>
              <w:t>12.03.2024</w:t>
            </w:r>
          </w:p>
        </w:tc>
        <w:tc>
          <w:tcPr>
            <w:tcW w:type="dxa" w:w="2160"/>
          </w:tcPr>
          <w:p>
            <w:r>
              <w:t>Sandra Becker</w:t>
            </w:r>
          </w:p>
        </w:tc>
        <w:tc>
          <w:tcPr>
            <w:tcW w:type="dxa" w:w="2160"/>
          </w:tcPr>
          <w:p>
            <w:r>
              <w:t>Q&amp;A-Anhang, Compliance-Dokumente</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