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Geschaeftsfuehrung – Klaus Mueller</w:t>
      </w:r>
    </w:p>
    <w:p>
      <w:pPr>
        <w:jc w:val="center"/>
      </w:pPr>
      <w:r>
        <w:t>in der Fassung vom 10. Januar 2014</w:t>
      </w:r>
    </w:p>
    <w:p/>
    <w:p>
      <w:pPr>
        <w:pStyle w:val="Heading3"/>
      </w:pPr>
      <w:r>
        <w:t>Vertragsparteien</w:t>
      </w:r>
    </w:p>
    <w:p>
      <w:r>
        <w:t>Zwischen der Halbreiter Maschinenbau GmbH, Industriestrasse 12, 50829 Koeln, vertreten durch die Gesellschafterversammlung (Beschluss vom 10. Januar 2014) – nachfolgend 'Gesellschaft' genannt – und Herrn/Frau Klaus Mueller, geboren am 12.02.1963, – nachfolgend 'Geschaeftsfuehrer(in)' genannt – wird folgender Anstellungsvertrag geschlossen.</w:t>
      </w:r>
    </w:p>
    <w:p>
      <w:pPr>
        <w:pStyle w:val="Heading3"/>
      </w:pPr>
      <w:r>
        <w:t>Praeambel</w:t>
      </w:r>
    </w:p>
    <w:p>
      <w:r>
        <w:t>Der/die Geschaeftsfuehrer(in) wird mit Wirkung des in § 2 genannten Datums zum Mitglied der Geschaeftsfuehrung der Gesellschaft bestellt. Der Anstellungsvertrag konkretisiert die korrespondierenden Rechte und Pflichten.</w:t>
      </w:r>
    </w:p>
    <w:p>
      <w:pPr>
        <w:pStyle w:val="Heading3"/>
      </w:pPr>
      <w:r>
        <w:t>Vertragstext</w:t>
      </w:r>
    </w:p>
    <w:p>
      <w:pPr>
        <w:pStyle w:val="Heading4"/>
      </w:pPr>
      <w:r>
        <w:t>§ 1 Aufgaben und Vertretungsbefugnis</w:t>
      </w:r>
    </w:p>
    <w:p>
      <w:r>
        <w:rPr>
          <w:b/>
        </w:rPr>
        <w:t xml:space="preserve">(1) </w:t>
      </w:r>
      <w:r>
        <w:t>Der/die Geschaeftsfuehrer(in) fuehrt die Geschaefte der Gesellschaft in der Funktion CEO / Vorsitzender der Geschaeftsfuehrung. Die Aufgabenverteilung wird in einer von der Gesellschafterversammlung verabschiedeten Geschaeftsordnung geregelt (zuletzt: Geschaeftsordnung Geschaeftsfuehrung vom 19.09.2019, Anlage 1).</w:t>
      </w:r>
    </w:p>
    <w:p>
      <w:r>
        <w:rPr>
          <w:b/>
        </w:rPr>
        <w:t xml:space="preserve">(2) </w:t>
      </w:r>
      <w:r>
        <w:t>Der/die Geschaeftsfuehrer(in) ist im Aussenverhaeltnis einzelvertretungsbefugt und von den Beschraenkungen des § 181 BGB befreit. Im Innenverhaeltnis gelten die Zustimmungsvorbehalte gemaess Anlage 2 (insbesondere bei Investitionen ueber 500.000 EUR, Krediteinraeumung, Veraeusserung wesentlicher Vermoegenswerte, Anteilsuebertragungen und Personalmassnahmen oberhalb tariflicher Ebene).</w:t>
      </w:r>
    </w:p>
    <w:p>
      <w:pPr>
        <w:pStyle w:val="Heading4"/>
      </w:pPr>
      <w:r>
        <w:t>§ 2 Vertragsdauer</w:t>
      </w:r>
    </w:p>
    <w:p>
      <w:r>
        <w:rPr>
          <w:b/>
        </w:rPr>
        <w:t xml:space="preserve">(1) </w:t>
      </w:r>
      <w:r>
        <w:t>Der Vertrag beginnt am 10. Januar 2014 und ist auf unbestimmte Zeit geschlossen.</w:t>
      </w:r>
    </w:p>
    <w:p>
      <w:r>
        <w:rPr>
          <w:b/>
        </w:rPr>
        <w:t xml:space="preserve">(2) </w:t>
      </w:r>
      <w:r>
        <w:t>Die ordentliche Kuendigung ist beiderseits mit einer Frist von zwoelf Monaten zum Ende eines Kalenderhalbjahres zulaessig. Die Bestellung als Geschaeftsfuehrer und der Anstellungsvertrag sind rechtlich unabhaengig (sog. Trennungsprinzip).</w:t>
      </w:r>
    </w:p>
    <w:p>
      <w:pPr>
        <w:pStyle w:val="Heading4"/>
      </w:pPr>
      <w:r>
        <w:t>§ 3 Vergutung</w:t>
      </w:r>
    </w:p>
    <w:p>
      <w:r>
        <w:rPr>
          <w:b/>
        </w:rPr>
        <w:t xml:space="preserve">(1) </w:t>
      </w:r>
      <w:r>
        <w:t>Der/die Geschaeftsfuehrer(in) erhaelt ein Jahresbruttofixgehalt von 320.000 EUR, zahlbar in zwoelf gleichen Monatsraten jeweils nachschuessig.</w:t>
      </w:r>
    </w:p>
    <w:p>
      <w:r>
        <w:rPr>
          <w:b/>
        </w:rPr>
        <w:t xml:space="preserve">(2) </w:t>
      </w:r>
      <w:r>
        <w:t>Zusaetzlich wird eine variable Vergutung (Tantieme) in Hoehe von bis zu 40 % des Jahresbruttofixgehalts gewaehrt. Bemessungsgrundlage sind die EBIT-Zielerreichung (70 %) sowie individuelle Ziele (30 %), die von der Gesellschafterversammlung jaehrlich vorab festgelegt werden.</w:t>
      </w:r>
    </w:p>
    <w:p>
      <w:r>
        <w:rPr>
          <w:b/>
        </w:rPr>
        <w:t xml:space="preserve">(3) </w:t>
      </w:r>
      <w:r>
        <w:t>Die Gesellschaft stellt einen Dienstwagen der oberen Mittelklasse (Listenpreis bis 75.000 EUR brutto) auch zur privaten Nutzung; geldwerter Vorteil wird nach 1 %-Regel versteuert.</w:t>
      </w:r>
    </w:p>
    <w:p>
      <w:r>
        <w:rPr>
          <w:b/>
        </w:rPr>
        <w:t xml:space="preserve">(4) </w:t>
      </w:r>
      <w:r>
        <w:t>Die Gesellschaft schliesst eine D&amp;O-Versicherung mit einer Versicherungssumme von 10 Mio. EUR (Allianz SE) ab, der/die Geschaeftsfuehrer(in) ist mitversicherte Person; der Selbstbehalt entspricht den Anforderungen des § 93 Abs. 2 S. 3 AktG analog (10 % des Schadens, max. 150 % der Festvergutung).</w:t>
      </w:r>
    </w:p>
    <w:p>
      <w:pPr>
        <w:pStyle w:val="Heading4"/>
      </w:pPr>
      <w:r>
        <w:t>§ 4 Sonstige Leistungen</w:t>
      </w:r>
    </w:p>
    <w:p>
      <w:r>
        <w:rPr>
          <w:b/>
        </w:rPr>
        <w:t xml:space="preserve">(1) </w:t>
      </w:r>
      <w:r>
        <w:t>Beitraege zur betrieblichen Altersversorgung in Hoehe von 12.000 EUR p. a. (Direktzusage), Versorgungsregelung gemaess BetrAVG.</w:t>
      </w:r>
    </w:p>
    <w:p>
      <w:r>
        <w:rPr>
          <w:b/>
        </w:rPr>
        <w:t xml:space="preserve">(2) </w:t>
      </w:r>
      <w:r>
        <w:t>Krankheits- und Unfallzusatzversicherung (Top-Tarif), Beitraege werden von der Gesellschaft uebernommen.</w:t>
      </w:r>
    </w:p>
    <w:p>
      <w:pPr>
        <w:pStyle w:val="Heading4"/>
      </w:pPr>
      <w:r>
        <w:t>§ 5 Urlaub und Arbeitszeit</w:t>
      </w:r>
    </w:p>
    <w:p>
      <w:r>
        <w:rPr>
          <w:b/>
        </w:rPr>
        <w:t xml:space="preserve">(1) </w:t>
      </w:r>
      <w:r>
        <w:t>Jahresurlaub: 30 Arbeitstage. Eine feste Arbeitszeit besteht nicht; geschuldet ist die Erfuellung der Aufgaben. Die Wahrnehmung von bis zu zwei Aufsichtsrats- oder Beiratsmandaten ausserhalb der Gesellschaft ist nach vorheriger Anzeige zulaessig.</w:t>
      </w:r>
    </w:p>
    <w:p>
      <w:pPr>
        <w:pStyle w:val="Heading4"/>
      </w:pPr>
      <w:r>
        <w:t>§ 6 Wettbewerbsverbot</w:t>
      </w:r>
    </w:p>
    <w:p>
      <w:r>
        <w:rPr>
          <w:b/>
        </w:rPr>
        <w:t xml:space="preserve">(1) </w:t>
      </w:r>
      <w:r>
        <w:t>Waehrend der Vertragsdauer besteht ein umfassendes Wettbewerbsverbot.</w:t>
      </w:r>
    </w:p>
    <w:p>
      <w:r>
        <w:rPr>
          <w:b/>
        </w:rPr>
        <w:t xml:space="preserve">(2) </w:t>
      </w:r>
      <w:r>
        <w:t>Nachvertraglich besteht fuer einen Zeitraum von zwoelf Monaten ein Wettbewerbsverbot (Maschinenbau / Industrieautomation, raeumlich DACH); die Karenzentschaedigung betraegt 50 % des zuletzt bezogenen Jahresbruttofixgehalts.</w:t>
      </w:r>
    </w:p>
    <w:p>
      <w:pPr>
        <w:pStyle w:val="Heading4"/>
      </w:pPr>
      <w:r>
        <w:t>§ 7 Verschwiegenheit</w:t>
      </w:r>
    </w:p>
    <w:p>
      <w:r>
        <w:rPr>
          <w:b/>
        </w:rPr>
        <w:t xml:space="preserve">(1) </w:t>
      </w:r>
      <w:r>
        <w:t>Verschwiegenheitspflicht ueber alle vertraulichen Informationen waehrend und unbefristet nach Beendigung des Vertrages. Bei Verstoss kann eine Vertragsstrafe in Hoehe von bis zu drei Bruttomonatsgehaeltern verhaengt werden; weitergehende Schadenersatzansprueche bleiben unberuehrt.</w:t>
      </w:r>
    </w:p>
    <w:p>
      <w:pPr>
        <w:pStyle w:val="Heading4"/>
      </w:pPr>
      <w:r>
        <w:t>§ 8 Schlussbestimmungen</w:t>
      </w:r>
    </w:p>
    <w:p>
      <w:r>
        <w:rPr>
          <w:b/>
        </w:rPr>
        <w:t xml:space="preserve">(1) </w:t>
      </w:r>
      <w:r>
        <w:t>Es gilt deutsches Recht. Gerichtsstand: Koeln. Aenderungen und Ergaenzungen beduerfen der Schriftform; dies gilt auch fuer die Aufhebung der Schriftformklausel.</w:t>
      </w:r>
    </w:p>
    <w:p>
      <w:pPr>
        <w:pStyle w:val="Heading3"/>
      </w:pPr>
      <w:r>
        <w:t>Anlagen</w:t>
      </w:r>
    </w:p>
    <w:p>
      <w:r>
        <w:t>Anlage 1: Geschaeftsordnung Geschaeftsfuehrung</w:t>
      </w:r>
    </w:p>
    <w:p>
      <w:r>
        <w:t>Anlage 2: Zustimmungsbeduerftige Geschaefte</w:t>
      </w:r>
    </w:p>
    <w:p>
      <w:r>
        <w:t>Anlage 3: Zielvereinbarung Tantieme (jaehrlich)</w:t>
      </w:r>
    </w:p>
    <w:p>
      <w:r>
        <w:t>Anlage 4: D&amp;O-Versicherungspolice (Allianz SE)</w:t>
      </w:r>
    </w:p>
    <w:p>
      <w:pPr>
        <w:pStyle w:val="Heading3"/>
      </w:pPr>
      <w:r>
        <w:t>Unterschriften</w:t>
      </w:r>
    </w:p>
    <w:p>
      <w:r>
        <w:t>Ort, Datum: Koeln, den 10. Januar 2014</w:t>
      </w:r>
    </w:p>
    <w:p>
      <w:r>
        <w:t>_________________________            _________________________</w:t>
        <w:br/>
        <w:t>Klaus Mueller                          Klaus Mueller</w:t>
        <w:br/>
        <w:t>Vorsitzender Gesellschafterversammlung                          CEO / Vorsitzender der Geschaeftsfuehrung</w:t>
        <w:br/>
        <w:t>fuer die Gesellschaft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