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Gesellschafterbeschluss – Feststellung Jahresabschluss 2021</w:t>
      </w:r>
    </w:p>
    <w:p>
      <w:pPr>
        <w:jc w:val="center"/>
      </w:pPr>
      <w:r>
        <w:t>Beschluss-Nr. 2022/03 vom 23. Juni 2022</w:t>
      </w:r>
    </w:p>
    <w:p/>
    <w:p>
      <w:pPr>
        <w:pStyle w:val="Heading3"/>
      </w:pPr>
      <w:r>
        <w:t>Praeambel</w:t>
      </w:r>
    </w:p>
    <w:p>
      <w:r>
        <w:t>Die Gesellschafter der Halbreiter Maschinenbau GmbH (HRB 47312, Amtsgericht Koeln) haben in der heute am Sitz der Gesellschaft, Industriestrasse 12, 50829 Koeln, abgehaltenen Gesellschafterversammlung den nachfolgenden Beschluss gefasst. Anwesend bzw. wirksam vertreten waren saemtliche Gesellschafter: Herr Klaus Mueller (60 % / 150 Geschaeftsanteile) und die Mueller Familien-GbR (40 % / 100 Geschaeftsanteile), vertreten durch Herrn Klaus Mueller. Das gesamte gezeichnete Stammkapital von 250.000 EUR war vertreten. Auf Foermlichkeiten der Einberufung wurde im Sinne des § 51 Abs. 3 GmbHG einstimmig verzichtet.</w:t>
      </w:r>
    </w:p>
    <w:p>
      <w:pPr>
        <w:pStyle w:val="Heading3"/>
      </w:pPr>
      <w:r>
        <w:t>1. Vorlage und Pruefungsergebnis</w:t>
      </w:r>
    </w:p>
    <w:p>
      <w:r>
        <w:t>Die Geschaeftsfuehrung legt den vom Abschlusspruefer BDO AG WPG (Bestaetigungsvermerk vom 4. Mai 2022) uneingeschraenkt testierten Jahresabschluss 2021 (Bilanz, Gewinn- und Verlustrechnung, Anhang) sowie den Lagebericht vor. Wesentliche Kennzahlen:</w:t>
      </w:r>
    </w:p>
    <w:p>
      <w:pPr>
        <w:pStyle w:val="Heading3"/>
      </w:pPr>
      <w:r>
        <w:t>2. Kennzahlen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Kennzahl</w:t>
            </w:r>
          </w:p>
        </w:tc>
        <w:tc>
          <w:tcPr>
            <w:tcW w:type="dxa" w:w="2160"/>
          </w:tcPr>
          <w:p>
            <w:r>
              <w:t>2021</w:t>
            </w:r>
          </w:p>
        </w:tc>
        <w:tc>
          <w:tcPr>
            <w:tcW w:type="dxa" w:w="2160"/>
          </w:tcPr>
          <w:p>
            <w:r>
              <w:t>2020</w:t>
            </w:r>
          </w:p>
        </w:tc>
        <w:tc>
          <w:tcPr>
            <w:tcW w:type="dxa" w:w="2160"/>
          </w:tcPr>
          <w:p>
            <w:r>
              <w:t>Veraenderung</w:t>
            </w:r>
          </w:p>
        </w:tc>
      </w:tr>
      <w:tr>
        <w:tc>
          <w:tcPr>
            <w:tcW w:type="dxa" w:w="2160"/>
          </w:tcPr>
          <w:p>
            <w:r>
              <w:t>Umsatzerloese</w:t>
            </w:r>
          </w:p>
        </w:tc>
        <w:tc>
          <w:tcPr>
            <w:tcW w:type="dxa" w:w="2160"/>
          </w:tcPr>
          <w:p>
            <w:r>
              <w:t>41,90 Mio. EUR</w:t>
            </w:r>
          </w:p>
        </w:tc>
        <w:tc>
          <w:tcPr>
            <w:tcW w:type="dxa" w:w="2160"/>
          </w:tcPr>
          <w:p>
            <w:r>
              <w:t>39,80 Mio. EUR</w:t>
            </w:r>
          </w:p>
        </w:tc>
        <w:tc>
          <w:tcPr>
            <w:tcW w:type="dxa" w:w="2160"/>
          </w:tcPr>
          <w:p>
            <w:r>
              <w:t>+5,3 %</w:t>
            </w:r>
          </w:p>
        </w:tc>
      </w:tr>
      <w:tr>
        <w:tc>
          <w:tcPr>
            <w:tcW w:type="dxa" w:w="2160"/>
          </w:tcPr>
          <w:p>
            <w:r>
              <w:t>EBITDA</w:t>
            </w:r>
          </w:p>
        </w:tc>
        <w:tc>
          <w:tcPr>
            <w:tcW w:type="dxa" w:w="2160"/>
          </w:tcPr>
          <w:p>
            <w:r>
              <w:t>4,80 Mio. EUR</w:t>
            </w:r>
          </w:p>
        </w:tc>
        <w:tc>
          <w:tcPr>
            <w:tcW w:type="dxa" w:w="2160"/>
          </w:tcPr>
          <w:p>
            <w:r>
              <w:t>4,15 Mio. EUR</w:t>
            </w:r>
          </w:p>
        </w:tc>
        <w:tc>
          <w:tcPr>
            <w:tcW w:type="dxa" w:w="2160"/>
          </w:tcPr>
          <w:p>
            <w:r>
              <w:t>+15,7 %</w:t>
            </w:r>
          </w:p>
        </w:tc>
      </w:tr>
      <w:tr>
        <w:tc>
          <w:tcPr>
            <w:tcW w:type="dxa" w:w="2160"/>
          </w:tcPr>
          <w:p>
            <w:r>
              <w:t>EBIT</w:t>
            </w:r>
          </w:p>
        </w:tc>
        <w:tc>
          <w:tcPr>
            <w:tcW w:type="dxa" w:w="2160"/>
          </w:tcPr>
          <w:p>
            <w:r>
              <w:t>2,95 Mio. EUR</w:t>
            </w:r>
          </w:p>
        </w:tc>
        <w:tc>
          <w:tcPr>
            <w:tcW w:type="dxa" w:w="2160"/>
          </w:tcPr>
          <w:p>
            <w:r>
              <w:t>2,38 Mio. EUR</w:t>
            </w:r>
          </w:p>
        </w:tc>
        <w:tc>
          <w:tcPr>
            <w:tcW w:type="dxa" w:w="2160"/>
          </w:tcPr>
          <w:p>
            <w:r>
              <w:t>+23,9 %</w:t>
            </w:r>
          </w:p>
        </w:tc>
      </w:tr>
      <w:tr>
        <w:tc>
          <w:tcPr>
            <w:tcW w:type="dxa" w:w="2160"/>
          </w:tcPr>
          <w:p>
            <w:r>
              <w:t>Jahresueberschuss</w:t>
            </w:r>
          </w:p>
        </w:tc>
        <w:tc>
          <w:tcPr>
            <w:tcW w:type="dxa" w:w="2160"/>
          </w:tcPr>
          <w:p>
            <w:r>
              <w:t>2,07 Mio. EUR</w:t>
            </w:r>
          </w:p>
        </w:tc>
        <w:tc>
          <w:tcPr>
            <w:tcW w:type="dxa" w:w="2160"/>
          </w:tcPr>
          <w:p>
            <w:r>
              <w:t>1,72 Mio. EUR</w:t>
            </w:r>
          </w:p>
        </w:tc>
        <w:tc>
          <w:tcPr>
            <w:tcW w:type="dxa" w:w="2160"/>
          </w:tcPr>
          <w:p>
            <w:r>
              <w:t>+20,3 %</w:t>
            </w:r>
          </w:p>
        </w:tc>
      </w:tr>
      <w:tr>
        <w:tc>
          <w:tcPr>
            <w:tcW w:type="dxa" w:w="2160"/>
          </w:tcPr>
          <w:p>
            <w:r>
              <w:t>Bilanzsumme</w:t>
            </w:r>
          </w:p>
        </w:tc>
        <w:tc>
          <w:tcPr>
            <w:tcW w:type="dxa" w:w="2160"/>
          </w:tcPr>
          <w:p>
            <w:r>
              <w:t>27,30 Mio. EUR</w:t>
            </w:r>
          </w:p>
        </w:tc>
        <w:tc>
          <w:tcPr>
            <w:tcW w:type="dxa" w:w="2160"/>
          </w:tcPr>
          <w:p>
            <w:r>
              <w:t>26,40 Mio. EUR</w:t>
            </w:r>
          </w:p>
        </w:tc>
        <w:tc>
          <w:tcPr>
            <w:tcW w:type="dxa" w:w="2160"/>
          </w:tcPr>
          <w:p>
            <w:r>
              <w:t>+3,4 %</w:t>
            </w:r>
          </w:p>
        </w:tc>
      </w:tr>
      <w:tr>
        <w:tc>
          <w:tcPr>
            <w:tcW w:type="dxa" w:w="2160"/>
          </w:tcPr>
          <w:p>
            <w:r>
              <w:t>Eigenkapital</w:t>
            </w:r>
          </w:p>
        </w:tc>
        <w:tc>
          <w:tcPr>
            <w:tcW w:type="dxa" w:w="2160"/>
          </w:tcPr>
          <w:p>
            <w:r>
              <w:t>13,40 Mio. EUR</w:t>
            </w:r>
          </w:p>
        </w:tc>
        <w:tc>
          <w:tcPr>
            <w:tcW w:type="dxa" w:w="2160"/>
          </w:tcPr>
          <w:p>
            <w:r>
              <w:t>12,90 Mio. EUR</w:t>
            </w:r>
          </w:p>
        </w:tc>
        <w:tc>
          <w:tcPr>
            <w:tcW w:type="dxa" w:w="2160"/>
          </w:tcPr>
          <w:p>
            <w:r>
              <w:t>+3,9 %</w:t>
            </w:r>
          </w:p>
        </w:tc>
      </w:tr>
      <w:tr>
        <w:tc>
          <w:tcPr>
            <w:tcW w:type="dxa" w:w="2160"/>
          </w:tcPr>
          <w:p>
            <w:r>
              <w:t>EK-Quote</w:t>
            </w:r>
          </w:p>
        </w:tc>
        <w:tc>
          <w:tcPr>
            <w:tcW w:type="dxa" w:w="2160"/>
          </w:tcPr>
          <w:p>
            <w:r>
              <w:t>49,1 %</w:t>
            </w:r>
          </w:p>
        </w:tc>
        <w:tc>
          <w:tcPr>
            <w:tcW w:type="dxa" w:w="2160"/>
          </w:tcPr>
          <w:p>
            <w:r>
              <w:t>48,9 %</w:t>
            </w:r>
          </w:p>
        </w:tc>
        <w:tc>
          <w:tcPr>
            <w:tcW w:type="dxa" w:w="2160"/>
          </w:tcPr>
          <w:p>
            <w:r>
              <w:t>+0,2 PP</w:t>
            </w:r>
          </w:p>
        </w:tc>
      </w:tr>
      <w:tr>
        <w:tc>
          <w:tcPr>
            <w:tcW w:type="dxa" w:w="2160"/>
          </w:tcPr>
          <w:p>
            <w:r>
              <w:t>Mitarbeiter (FTE)</w:t>
            </w:r>
          </w:p>
        </w:tc>
        <w:tc>
          <w:tcPr>
            <w:tcW w:type="dxa" w:w="2160"/>
          </w:tcPr>
          <w:p>
            <w:r>
              <w:t>218</w:t>
            </w:r>
          </w:p>
        </w:tc>
        <w:tc>
          <w:tcPr>
            <w:tcW w:type="dxa" w:w="2160"/>
          </w:tcPr>
          <w:p>
            <w:r>
              <w:t>210</w:t>
            </w:r>
          </w:p>
        </w:tc>
        <w:tc>
          <w:tcPr>
            <w:tcW w:type="dxa" w:w="2160"/>
          </w:tcPr>
          <w:p>
            <w:r>
              <w:t>+8</w:t>
            </w:r>
          </w:p>
        </w:tc>
      </w:tr>
    </w:tbl>
    <w:p>
      <w:pPr>
        <w:pStyle w:val="Heading3"/>
      </w:pPr>
      <w:r>
        <w:t>3. Beschluss</w:t>
      </w:r>
    </w:p>
    <w:p>
      <w:pPr>
        <w:pStyle w:val="Heading4"/>
      </w:pPr>
      <w:r>
        <w:t>§ 1 Feststellung</w:t>
      </w:r>
    </w:p>
    <w:p>
      <w:r>
        <w:rPr>
          <w:b/>
        </w:rPr>
        <w:t xml:space="preserve">(1) </w:t>
      </w:r>
      <w:r>
        <w:t>Die Gesellschafter stellen den Jahresabschluss 2021 der Halbreiter Maschinenbau GmbH einstimmig fest.</w:t>
      </w:r>
    </w:p>
    <w:p>
      <w:pPr>
        <w:pStyle w:val="Heading4"/>
      </w:pPr>
      <w:r>
        <w:t>§ 2 Ergebnisverwendung</w:t>
      </w:r>
    </w:p>
    <w:p>
      <w:r>
        <w:rPr>
          <w:b/>
        </w:rPr>
        <w:t xml:space="preserve">(1) </w:t>
      </w:r>
      <w:r>
        <w:t>Vom Jahresueberschuss 2021 wird ein Betrag von 800.000 EUR als Ausschuettung an die Gesellschafter ausgekehrt; der verbleibende Betrag wird in die anderen Gewinnruecklagen eingestellt.</w:t>
      </w:r>
    </w:p>
    <w:p>
      <w:r>
        <w:rPr>
          <w:b/>
        </w:rPr>
        <w:t xml:space="preserve">(2) </w:t>
      </w:r>
      <w:r>
        <w:t>Die Ausschuettung erfolgt im Verhaeltnis 60/40 (Klaus Mueller / Mueller Familien-GbR) und wird innerhalb von 30 Tagen ueber das Bankkonto bei der Deutschen Bank AG ausgezahlt.</w:t>
      </w:r>
    </w:p>
    <w:p>
      <w:pPr>
        <w:pStyle w:val="Heading4"/>
      </w:pPr>
      <w:r>
        <w:t>§ 3 Entlastung der Geschaeftsfuehrung</w:t>
      </w:r>
    </w:p>
    <w:p>
      <w:r>
        <w:rPr>
          <w:b/>
        </w:rPr>
        <w:t xml:space="preserve">(1) </w:t>
      </w:r>
      <w:r>
        <w:t>Den Geschaeftsfuehrern Klaus Mueller (CEO) und Sandra Becker (CFO) wird fuer das Geschaeftsjahr 2021 Entlastung erteilt.</w:t>
      </w:r>
    </w:p>
    <w:p>
      <w:pPr>
        <w:pStyle w:val="Heading4"/>
      </w:pPr>
      <w:r>
        <w:t>§ 4 Wahl Abschlusspruefer</w:t>
      </w:r>
    </w:p>
    <w:p>
      <w:r>
        <w:rPr>
          <w:b/>
        </w:rPr>
        <w:t xml:space="preserve">(1) </w:t>
      </w:r>
      <w:r>
        <w:t>Zum Abschlusspruefer fuer das Geschaeftsjahr 2022 wird die BDO AG WPG (Niederlassung Koeln) bestellt.</w:t>
      </w:r>
    </w:p>
    <w:p>
      <w:pPr>
        <w:pStyle w:val="Heading3"/>
      </w:pPr>
      <w:r>
        <w:t>4. Anlagen</w:t>
      </w:r>
    </w:p>
    <w:p>
      <w:r>
        <w:t>Anlage 1: Bilanz und GuV 2021 (testiert)</w:t>
      </w:r>
    </w:p>
    <w:p>
      <w:r>
        <w:t>Anlage 2: Anhang und Lagebericht 2021</w:t>
      </w:r>
    </w:p>
    <w:p>
      <w:r>
        <w:t>Anlage 3: Pruefungsbericht des Abschlusspruefers</w:t>
      </w:r>
    </w:p>
    <w:p>
      <w:pPr>
        <w:pStyle w:val="Heading3"/>
      </w:pPr>
      <w:r>
        <w:t>Schlussfeststellung</w:t>
      </w:r>
    </w:p>
    <w:p>
      <w:r>
        <w:t>Die Versammlung wird um 11:45 Uhr geschlossen. Das Protokoll wird in zweifacher Ausfertigung erstellt; je eine Ausfertigung verbleibt bei der Gesellschaft und der Familien-GbR. Eine Abschrift wird der Wirtschaftspruefung sowie dem rechtlichen Berater (Heuking Kuehn Lueer Wojtek) zur Vorlage zur Verfuegung gestellt.</w:t>
      </w:r>
    </w:p>
    <w:p>
      <w:pPr>
        <w:pStyle w:val="Heading3"/>
      </w:pPr>
      <w:r>
        <w:t>Unterschriften</w:t>
      </w:r>
    </w:p>
    <w:p>
      <w:r>
        <w:t>Ort, Datum: Koeln, den 23. Juni 2022</w:t>
      </w:r>
    </w:p>
    <w:p>
      <w:r>
        <w:t>_________________________            _________________________</w:t>
        <w:br/>
        <w:t>Klaus Mueller                          Klaus Mueller</w:t>
        <w:br/>
        <w:t>Gesellschafter (60 %)                          fuer Mueller Familien-GbR (40 %)</w:t>
        <w:br/>
        <w:t>Halbreiter Maschinenbau GmbH                       Familien-GbR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