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 Feststellung Jahresabschluss 2023</w:t>
      </w:r>
    </w:p>
    <w:p>
      <w:pPr>
        <w:jc w:val="center"/>
      </w:pPr>
      <w:r>
        <w:t>Beschluss-Nr. 2024/04 vom 25. Juni 2024</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Vorlage und Pruefungsergebnis</w:t>
      </w:r>
    </w:p>
    <w:p>
      <w:r>
        <w:t>Die Geschaeftsfuehrung legt den vom Abschlusspruefer BDO AG WPG (Bestaetigungsvermerk vom 7. Mai 2024) uneingeschraenkt testierten Jahresabschluss 2023 (Bilanz, Gewinn- und Verlustrechnung, Anhang) sowie den Lagebericht vor. Wesentliche Kennzahlen:</w:t>
      </w:r>
    </w:p>
    <w:p>
      <w:pPr>
        <w:pStyle w:val="Heading3"/>
      </w:pPr>
      <w:r>
        <w:t>2. Kennzahlen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Kennzahl</w:t>
            </w:r>
          </w:p>
        </w:tc>
        <w:tc>
          <w:tcPr>
            <w:tcW w:type="dxa" w:w="2160"/>
          </w:tcPr>
          <w:p>
            <w:r>
              <w:t>2023</w:t>
            </w:r>
          </w:p>
        </w:tc>
        <w:tc>
          <w:tcPr>
            <w:tcW w:type="dxa" w:w="2160"/>
          </w:tcPr>
          <w:p>
            <w:r>
              <w:t>2022</w:t>
            </w:r>
          </w:p>
        </w:tc>
        <w:tc>
          <w:tcPr>
            <w:tcW w:type="dxa" w:w="2160"/>
          </w:tcPr>
          <w:p>
            <w:r>
              <w:t>Veraenderung</w:t>
            </w:r>
          </w:p>
        </w:tc>
      </w:tr>
      <w:tr>
        <w:tc>
          <w:tcPr>
            <w:tcW w:type="dxa" w:w="2160"/>
          </w:tcPr>
          <w:p>
            <w:r>
              <w:t>Umsatzerloese</w:t>
            </w:r>
          </w:p>
        </w:tc>
        <w:tc>
          <w:tcPr>
            <w:tcW w:type="dxa" w:w="2160"/>
          </w:tcPr>
          <w:p>
            <w:r>
              <w:t>48,63 Mio. EUR</w:t>
            </w:r>
          </w:p>
        </w:tc>
        <w:tc>
          <w:tcPr>
            <w:tcW w:type="dxa" w:w="2160"/>
          </w:tcPr>
          <w:p>
            <w:r>
              <w:t>43,25 Mio. EUR</w:t>
            </w:r>
          </w:p>
        </w:tc>
        <w:tc>
          <w:tcPr>
            <w:tcW w:type="dxa" w:w="2160"/>
          </w:tcPr>
          <w:p>
            <w:r>
              <w:t>+12,4 %</w:t>
            </w:r>
          </w:p>
        </w:tc>
      </w:tr>
      <w:tr>
        <w:tc>
          <w:tcPr>
            <w:tcW w:type="dxa" w:w="2160"/>
          </w:tcPr>
          <w:p>
            <w:r>
              <w:t>EBITDA</w:t>
            </w:r>
          </w:p>
        </w:tc>
        <w:tc>
          <w:tcPr>
            <w:tcW w:type="dxa" w:w="2160"/>
          </w:tcPr>
          <w:p>
            <w:r>
              <w:t>5,98 Mio. EUR</w:t>
            </w:r>
          </w:p>
        </w:tc>
        <w:tc>
          <w:tcPr>
            <w:tcW w:type="dxa" w:w="2160"/>
          </w:tcPr>
          <w:p>
            <w:r>
              <w:t>5,10 Mio. EUR</w:t>
            </w:r>
          </w:p>
        </w:tc>
        <w:tc>
          <w:tcPr>
            <w:tcW w:type="dxa" w:w="2160"/>
          </w:tcPr>
          <w:p>
            <w:r>
              <w:t>+17,3 %</w:t>
            </w:r>
          </w:p>
        </w:tc>
      </w:tr>
      <w:tr>
        <w:tc>
          <w:tcPr>
            <w:tcW w:type="dxa" w:w="2160"/>
          </w:tcPr>
          <w:p>
            <w:r>
              <w:t>EBIT</w:t>
            </w:r>
          </w:p>
        </w:tc>
        <w:tc>
          <w:tcPr>
            <w:tcW w:type="dxa" w:w="2160"/>
          </w:tcPr>
          <w:p>
            <w:r>
              <w:t>3,89 Mio. EUR</w:t>
            </w:r>
          </w:p>
        </w:tc>
        <w:tc>
          <w:tcPr>
            <w:tcW w:type="dxa" w:w="2160"/>
          </w:tcPr>
          <w:p>
            <w:r>
              <w:t>3,22 Mio. EUR</w:t>
            </w:r>
          </w:p>
        </w:tc>
        <w:tc>
          <w:tcPr>
            <w:tcW w:type="dxa" w:w="2160"/>
          </w:tcPr>
          <w:p>
            <w:r>
              <w:t>+20,8 %</w:t>
            </w:r>
          </w:p>
        </w:tc>
      </w:tr>
      <w:tr>
        <w:tc>
          <w:tcPr>
            <w:tcW w:type="dxa" w:w="2160"/>
          </w:tcPr>
          <w:p>
            <w:r>
              <w:t>Jahresueberschuss</w:t>
            </w:r>
          </w:p>
        </w:tc>
        <w:tc>
          <w:tcPr>
            <w:tcW w:type="dxa" w:w="2160"/>
          </w:tcPr>
          <w:p>
            <w:r>
              <w:t>2,73 Mio. EUR</w:t>
            </w:r>
          </w:p>
        </w:tc>
        <w:tc>
          <w:tcPr>
            <w:tcW w:type="dxa" w:w="2160"/>
          </w:tcPr>
          <w:p>
            <w:r>
              <w:t>2,22 Mio. EUR</w:t>
            </w:r>
          </w:p>
        </w:tc>
        <w:tc>
          <w:tcPr>
            <w:tcW w:type="dxa" w:w="2160"/>
          </w:tcPr>
          <w:p>
            <w:r>
              <w:t>+22,8 %</w:t>
            </w:r>
          </w:p>
        </w:tc>
      </w:tr>
      <w:tr>
        <w:tc>
          <w:tcPr>
            <w:tcW w:type="dxa" w:w="2160"/>
          </w:tcPr>
          <w:p>
            <w:r>
              <w:t>Bilanzsumme</w:t>
            </w:r>
          </w:p>
        </w:tc>
        <w:tc>
          <w:tcPr>
            <w:tcW w:type="dxa" w:w="2160"/>
          </w:tcPr>
          <w:p>
            <w:r>
              <w:t>31,20 Mio. EUR</w:t>
            </w:r>
          </w:p>
        </w:tc>
        <w:tc>
          <w:tcPr>
            <w:tcW w:type="dxa" w:w="2160"/>
          </w:tcPr>
          <w:p>
            <w:r>
              <w:t>28,40 Mio. EUR</w:t>
            </w:r>
          </w:p>
        </w:tc>
        <w:tc>
          <w:tcPr>
            <w:tcW w:type="dxa" w:w="2160"/>
          </w:tcPr>
          <w:p>
            <w:r>
              <w:t>+9,9 %</w:t>
            </w:r>
          </w:p>
        </w:tc>
      </w:tr>
      <w:tr>
        <w:tc>
          <w:tcPr>
            <w:tcW w:type="dxa" w:w="2160"/>
          </w:tcPr>
          <w:p>
            <w:r>
              <w:t>Eigenkapital</w:t>
            </w:r>
          </w:p>
        </w:tc>
        <w:tc>
          <w:tcPr>
            <w:tcW w:type="dxa" w:w="2160"/>
          </w:tcPr>
          <w:p>
            <w:r>
              <w:t>16,90 Mio. EUR</w:t>
            </w:r>
          </w:p>
        </w:tc>
        <w:tc>
          <w:tcPr>
            <w:tcW w:type="dxa" w:w="2160"/>
          </w:tcPr>
          <w:p>
            <w:r>
              <w:t>14,10 Mio. EUR</w:t>
            </w:r>
          </w:p>
        </w:tc>
        <w:tc>
          <w:tcPr>
            <w:tcW w:type="dxa" w:w="2160"/>
          </w:tcPr>
          <w:p>
            <w:r>
              <w:t>+19,9 %</w:t>
            </w:r>
          </w:p>
        </w:tc>
      </w:tr>
      <w:tr>
        <w:tc>
          <w:tcPr>
            <w:tcW w:type="dxa" w:w="2160"/>
          </w:tcPr>
          <w:p>
            <w:r>
              <w:t>EK-Quote</w:t>
            </w:r>
          </w:p>
        </w:tc>
        <w:tc>
          <w:tcPr>
            <w:tcW w:type="dxa" w:w="2160"/>
          </w:tcPr>
          <w:p>
            <w:r>
              <w:t>54,2 %</w:t>
            </w:r>
          </w:p>
        </w:tc>
        <w:tc>
          <w:tcPr>
            <w:tcW w:type="dxa" w:w="2160"/>
          </w:tcPr>
          <w:p>
            <w:r>
              <w:t>49,6 %</w:t>
            </w:r>
          </w:p>
        </w:tc>
        <w:tc>
          <w:tcPr>
            <w:tcW w:type="dxa" w:w="2160"/>
          </w:tcPr>
          <w:p>
            <w:r>
              <w:t>+4,6 PP</w:t>
            </w:r>
          </w:p>
        </w:tc>
      </w:tr>
      <w:tr>
        <w:tc>
          <w:tcPr>
            <w:tcW w:type="dxa" w:w="2160"/>
          </w:tcPr>
          <w:p>
            <w:r>
              <w:t>Mitarbeiter (FTE)</w:t>
            </w:r>
          </w:p>
        </w:tc>
        <w:tc>
          <w:tcPr>
            <w:tcW w:type="dxa" w:w="2160"/>
          </w:tcPr>
          <w:p>
            <w:r>
              <w:t>247</w:t>
            </w:r>
          </w:p>
        </w:tc>
        <w:tc>
          <w:tcPr>
            <w:tcW w:type="dxa" w:w="2160"/>
          </w:tcPr>
          <w:p>
            <w:r>
              <w:t>231</w:t>
            </w:r>
          </w:p>
        </w:tc>
        <w:tc>
          <w:tcPr>
            <w:tcW w:type="dxa" w:w="2160"/>
          </w:tcPr>
          <w:p>
            <w:r>
              <w:t>+16</w:t>
            </w:r>
          </w:p>
        </w:tc>
      </w:tr>
    </w:tbl>
    <w:p>
      <w:pPr>
        <w:pStyle w:val="Heading3"/>
      </w:pPr>
      <w:r>
        <w:t>3. Beschluss</w:t>
      </w:r>
    </w:p>
    <w:p>
      <w:pPr>
        <w:pStyle w:val="Heading4"/>
      </w:pPr>
      <w:r>
        <w:t>§ 1 Feststellung</w:t>
      </w:r>
    </w:p>
    <w:p>
      <w:r>
        <w:rPr>
          <w:b/>
        </w:rPr>
        <w:t xml:space="preserve">(1) </w:t>
      </w:r>
      <w:r>
        <w:t>Die Gesellschafter stellen den Jahresabschluss 2023 der Halbreiter Maschinenbau GmbH einstimmig fest.</w:t>
      </w:r>
    </w:p>
    <w:p>
      <w:pPr>
        <w:pStyle w:val="Heading4"/>
      </w:pPr>
      <w:r>
        <w:t>§ 2 Ergebnisverwendung</w:t>
      </w:r>
    </w:p>
    <w:p>
      <w:r>
        <w:rPr>
          <w:b/>
        </w:rPr>
        <w:t xml:space="preserve">(1) </w:t>
      </w:r>
      <w:r>
        <w:t>Vom Jahresueberschuss 2023 wird ein Betrag von 1.100.000 EUR als Ausschuettung an die Gesellschafter ausgekehrt; der verbleibende Betrag wird in die anderen Gewinnruecklagen eingestellt.</w:t>
      </w:r>
    </w:p>
    <w:p>
      <w:r>
        <w:rPr>
          <w:b/>
        </w:rPr>
        <w:t xml:space="preserve">(2) </w:t>
      </w:r>
      <w:r>
        <w:t>Die Ausschuettung erfolgt im Verhaeltnis 60/40 (Klaus Mueller / Mueller Familien-GbR) und wird innerhalb von 30 Tagen ueber das Bankkonto bei der Deutschen Bank AG ausgezahlt.</w:t>
      </w:r>
    </w:p>
    <w:p>
      <w:pPr>
        <w:pStyle w:val="Heading4"/>
      </w:pPr>
      <w:r>
        <w:t>§ 3 Entlastung der Geschaeftsfuehrung</w:t>
      </w:r>
    </w:p>
    <w:p>
      <w:r>
        <w:rPr>
          <w:b/>
        </w:rPr>
        <w:t xml:space="preserve">(1) </w:t>
      </w:r>
      <w:r>
        <w:t>Den Geschaeftsfuehrern Klaus Mueller (CEO) und Sandra Becker (CFO) wird fuer das Geschaeftsjahr 2023 Entlastung erteilt.</w:t>
      </w:r>
    </w:p>
    <w:p>
      <w:pPr>
        <w:pStyle w:val="Heading4"/>
      </w:pPr>
      <w:r>
        <w:t>§ 4 Wahl Abschlusspruefer</w:t>
      </w:r>
    </w:p>
    <w:p>
      <w:r>
        <w:rPr>
          <w:b/>
        </w:rPr>
        <w:t xml:space="preserve">(1) </w:t>
      </w:r>
      <w:r>
        <w:t>Zum Abschlusspruefer fuer das Geschaeftsjahr 2024 wird die BDO AG WPG (Niederlassung Koeln) bestellt.</w:t>
      </w:r>
    </w:p>
    <w:p>
      <w:pPr>
        <w:pStyle w:val="Heading3"/>
      </w:pPr>
      <w:r>
        <w:t>4. Anlagen</w:t>
      </w:r>
    </w:p>
    <w:p>
      <w:r>
        <w:t>Anlage 1: Bilanz und GuV 2023 (testiert)</w:t>
      </w:r>
    </w:p>
    <w:p>
      <w:r>
        <w:t>Anlage 2: Anhang und Lagebericht 2023</w:t>
      </w:r>
    </w:p>
    <w:p>
      <w:r>
        <w:t>Anlage 3: Pruefungsbericht des Abschlusspruefers</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25. Juni 2024</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