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Gesellschafterbeschluss 2021/04 – Erweiterung Geschaeftsfelder (Lasermaschinen, Robotik)</w:t>
      </w:r>
    </w:p>
    <w:p>
      <w:pPr>
        <w:jc w:val="center"/>
      </w:pPr>
      <w:r>
        <w:t>Beschluss-Nr. 2021/04 vom 17. Mai 2021</w:t>
      </w:r>
    </w:p>
    <w:p/>
    <w:p>
      <w:pPr>
        <w:pStyle w:val="Heading3"/>
      </w:pPr>
      <w:r>
        <w:t>Praeambel</w:t>
      </w:r>
    </w:p>
    <w:p>
      <w:r>
        <w:t>Die Gesellschafter der Halbreiter Maschinenbau GmbH (HRB 47312, Amtsgericht Koeln) haben in der heute am Sitz der Gesellschaft, Industriestrasse 12, 50829 Koeln, abgehaltenen Gesellschafterversammlung den nachfolgenden Beschluss gefasst. Anwesend bzw. wirksam vertreten waren saemtliche Gesellschafter: Herr Klaus Mueller (60 % / 150 Geschaeftsanteile) und die Mueller Familien-GbR (40 % / 100 Geschaeftsanteile), vertreten durch Herrn Klaus Mueller. Das gesamte gezeichnete Stammkapital von 250.000 EUR war vertreten. Auf Foermlichkeiten der Einberufung wurde im Sinne des § 51 Abs. 3 GmbHG einstimmig verzichtet.</w:t>
      </w:r>
    </w:p>
    <w:p>
      <w:pPr>
        <w:pStyle w:val="Heading3"/>
      </w:pPr>
      <w:r>
        <w:t>1. Ausgangslage</w:t>
      </w:r>
    </w:p>
    <w:p>
      <w:r>
        <w:t>Die Geschaeftsfuehrung legt einen Strategievorschlag vor, mit dem die Halbreiter Maschinenbau GmbH ihre traditionelle Kernkompetenz im Sondermaschinenbau um zwei strategische Geschaeftsfelder erweitert: (a) hochpraezise Laserschneidsysteme fuer den Karosserierohbau und (b) modulare Robotik-Zellen mit kollaborativen Robotern (Cobots) fuer die Endmontage. Hintergrund sind konkrete Anfragen der Bestandskunden ThyssenKrupp Steel Europe AG und Dürr AG sowie ein konkreter Pilotauftrag von Hella GmbH &amp; Co. KGaA im Wert von 2,8 Mio. EUR.</w:t>
      </w:r>
    </w:p>
    <w:p>
      <w:r>
        <w:t>Eine vom CFO vorgelegte Investitionsrechnung sieht ueber den Planungshorizont 2021–2024 einen Investitionsbedarf von rund 4,2 Mio. EUR vor (CAPEX). Eine externe Marktanalyse durch Roland Berger (Bericht vom 12.04.2021) bestaetigt das jaehrliche Marktwachstum dieses Segments im DACH-Raum auf 7,5 % p. a.</w:t>
      </w:r>
    </w:p>
    <w:p>
      <w:pPr>
        <w:pStyle w:val="Heading3"/>
      </w:pPr>
      <w:r>
        <w:t>2. Beschluss</w:t>
      </w:r>
    </w:p>
    <w:p>
      <w:pPr>
        <w:pStyle w:val="Heading4"/>
      </w:pPr>
      <w:r>
        <w:t>§ 1 Erweiterung des Geschaeftsgegenstands</w:t>
      </w:r>
    </w:p>
    <w:p>
      <w:r>
        <w:rPr>
          <w:b/>
        </w:rPr>
        <w:t xml:space="preserve">(1) </w:t>
      </w:r>
      <w:r>
        <w:t>Die Gesellschafter beschliessen, den im § 2 des Gesellschaftsvertrages vom 14. Maerz 1985 festgelegten Unternehmensgegenstand klarstellend dahingehend zu ergaenzen, dass auch Laserbearbeitungsanlagen sowie robotergestuetzte Montagesysteme einschliesslich der zugehoerigen Steuerungssoftware und Wartungsdienstleistungen erfasst sind.</w:t>
      </w:r>
    </w:p>
    <w:p>
      <w:r>
        <w:rPr>
          <w:b/>
        </w:rPr>
        <w:t xml:space="preserve">(2) </w:t>
      </w:r>
      <w:r>
        <w:t>Eine notarielle Aenderung des Gesellschaftsvertrages und Eintragung im Handelsregister (Notarin Dr. Beate Hoffmann, Koeln) wird unverzueglich, spaetestens jedoch bis 31. Juli 2021, veranlasst.</w:t>
      </w:r>
    </w:p>
    <w:p>
      <w:pPr>
        <w:pStyle w:val="Heading4"/>
      </w:pPr>
      <w:r>
        <w:t>§ 2 Investitionsfreigabe</w:t>
      </w:r>
    </w:p>
    <w:p>
      <w:r>
        <w:rPr>
          <w:b/>
        </w:rPr>
        <w:t xml:space="preserve">(1) </w:t>
      </w:r>
      <w:r>
        <w:t>Die Geschaeftsfuehrung wird ermaechtigt, fuer den Aufbau der neuen Geschaeftsfelder bis zu 4,5 Mio. EUR CAPEX im Zeitraum 2021–2023 verbindlich zu beauftragen.</w:t>
      </w:r>
    </w:p>
    <w:p>
      <w:r>
        <w:rPr>
          <w:b/>
        </w:rPr>
        <w:t xml:space="preserve">(2) </w:t>
      </w:r>
      <w:r>
        <w:t>Die Finanzierung erfolgt zu rund 60 % aus operativem Cashflow und zu 40 % aus dem mit der Deutschen Bank AG, Filiale Koeln, am 11. Maerz 2021 zugesagten Investitionsdarlehen ueber 3,0 Mio. EUR (Laufzeit 7 Jahre, Zinssatz 1,85 % p. a. fix).</w:t>
      </w:r>
    </w:p>
    <w:p>
      <w:pPr>
        <w:pStyle w:val="Heading4"/>
      </w:pPr>
      <w:r>
        <w:t>§ 3 Personal</w:t>
      </w:r>
    </w:p>
    <w:p>
      <w:r>
        <w:rPr>
          <w:b/>
        </w:rPr>
        <w:t xml:space="preserve">(1) </w:t>
      </w:r>
      <w:r>
        <w:t>Es werden bis Ende 2022 21 zusaetzliche Vollzeitstellen geschaffen (12 in der Produktion, 5 in der Konstruktion, 4 im Vertrieb).</w:t>
      </w:r>
    </w:p>
    <w:p>
      <w:r>
        <w:rPr>
          <w:b/>
        </w:rPr>
        <w:t xml:space="preserve">(2) </w:t>
      </w:r>
      <w:r>
        <w:t>Mit dem Betriebsrat ist die Einrichtung einer separaten Kostenstelle 'BU Laser &amp; Robotik' sowie ein qualifikatorisches Schulungsprogramm zu vereinbaren.</w:t>
      </w:r>
    </w:p>
    <w:p>
      <w:pPr>
        <w:pStyle w:val="Heading4"/>
      </w:pPr>
      <w:r>
        <w:t>§ 4 Reporting</w:t>
      </w:r>
    </w:p>
    <w:p>
      <w:r>
        <w:rPr>
          <w:b/>
        </w:rPr>
        <w:t xml:space="preserve">(1) </w:t>
      </w:r>
      <w:r>
        <w:t>Die Geschaeftsfuehrung berichtet halbjaehrlich ueber den Ramp-up; KPI: Auftragseingang, Stundenproduktivitaet, Deckungsbeitrag II.</w:t>
      </w:r>
    </w:p>
    <w:p>
      <w:pPr>
        <w:pStyle w:val="Heading3"/>
      </w:pPr>
      <w:r>
        <w:t>Schlussfeststellung</w:t>
      </w:r>
    </w:p>
    <w:p>
      <w:r>
        <w:t>Die Versammlung wird um 11:45 Uhr geschlossen. Das Protokoll wird in zweifacher Ausfertigung erstellt; je eine Ausfertigung verbleibt bei der Gesellschaft und der Familien-GbR. Eine Abschrift wird der Wirtschaftspruefung sowie dem rechtlichen Berater (Heuking Kuehn Lueer Wojtek) zur Vorlage zur Verfuegung gestellt.</w:t>
      </w:r>
    </w:p>
    <w:p>
      <w:pPr>
        <w:pStyle w:val="Heading3"/>
      </w:pPr>
      <w:r>
        <w:t>Unterschriften</w:t>
      </w:r>
    </w:p>
    <w:p>
      <w:r>
        <w:t>Ort, Datum: Koeln, den 17. Mai 2021</w:t>
      </w:r>
    </w:p>
    <w:p>
      <w:r>
        <w:t>_________________________            _________________________</w:t>
        <w:br/>
        <w:t>Klaus Mueller                          Klaus Mueller</w:t>
        <w:br/>
        <w:t>Gesellschafter (60 %)                          fuer Mueller Familien-GbR (40 %)</w:t>
        <w:br/>
        <w:t>Halbreiter Maschinenbau GmbH                       Familien-GbR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