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2020/02 – Investitionsfreigabe Pressenlinie PL-500 sowie Modernisierung Halle B</w:t>
      </w:r>
    </w:p>
    <w:p>
      <w:pPr>
        <w:jc w:val="center"/>
      </w:pPr>
      <w:r>
        <w:t>Beschluss-Nr. 2020/02 vom 14. Februar 2020</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Investitionsvorhaben</w:t>
      </w:r>
    </w:p>
    <w:p>
      <w:r>
        <w:t>Die Geschaeftsfuehrung legt dar, dass die in der Halle B betriebene Pressenlinie PL-300 aus dem Jahr 2004 das technische Lebensende erreicht hat und sich Stillstandskosten in 2019 auf 412.000 EUR summierten. Geplant ist die Beschaffung einer neuen hydraulischen Stanzpresse PL-500 (Eigenentwicklung) mit Pressenkraft 800 t, kombinierter Servo-Steuerung und IoT-Anbindung, einschliesslich Hallenertuechtigung (neuer Fundamentblock, Schallschutz, Hallenkran 16 t).</w:t>
      </w:r>
    </w:p>
    <w:p>
      <w:r>
        <w:t>Gesamtinvestitionsvolumen: 2,75 Mio. EUR (davon Maschine 1,95 Mio. EUR, Bau 0,55 Mio. EUR, Inbetriebnahme/Schulung 0,25 Mio. EUR). ROI 4,3 Jahre auf Basis des vom CFO erstellten Business Case (Beschluss-Anlage 1).</w:t>
      </w:r>
    </w:p>
    <w:p>
      <w:pPr>
        <w:pStyle w:val="Heading3"/>
      </w:pPr>
      <w:r>
        <w:t>2. Beschluss</w:t>
      </w:r>
    </w:p>
    <w:p>
      <w:pPr>
        <w:pStyle w:val="Heading4"/>
      </w:pPr>
      <w:r>
        <w:t>§ 1 Freigabe</w:t>
      </w:r>
    </w:p>
    <w:p>
      <w:r>
        <w:rPr>
          <w:b/>
        </w:rPr>
        <w:t xml:space="preserve">(1) </w:t>
      </w:r>
      <w:r>
        <w:t>Die Gesellschafter erteilen die Investitionsfreigabe in Hoehe von bis zu 2,9 Mio. EUR (inkl. 5 % Reserve fuer unvorhergesehene Aufwendungen).</w:t>
      </w:r>
    </w:p>
    <w:p>
      <w:r>
        <w:rPr>
          <w:b/>
        </w:rPr>
        <w:t xml:space="preserve">(2) </w:t>
      </w:r>
      <w:r>
        <w:t>Die Inbetriebnahme soll spaetestens am 30. November 2020 erfolgen.</w:t>
      </w:r>
    </w:p>
    <w:p>
      <w:pPr>
        <w:pStyle w:val="Heading4"/>
      </w:pPr>
      <w:r>
        <w:t>§ 2 Finanzierung</w:t>
      </w:r>
    </w:p>
    <w:p>
      <w:r>
        <w:rPr>
          <w:b/>
        </w:rPr>
        <w:t xml:space="preserve">(1) </w:t>
      </w:r>
      <w:r>
        <w:t>Finanzierung zu 100 % aus dem mit der Deutschen Bank AG zugesagten Investitionskredit ueber 3,0 Mio. EUR (KfW-Tilgungszuschuss erwartet: 75.000 EUR).</w:t>
      </w:r>
    </w:p>
    <w:p>
      <w:pPr>
        <w:pStyle w:val="Heading4"/>
      </w:pPr>
      <w:r>
        <w:t>§ 3 Berichterstattung</w:t>
      </w:r>
    </w:p>
    <w:p>
      <w:r>
        <w:rPr>
          <w:b/>
        </w:rPr>
        <w:t xml:space="preserve">(1) </w:t>
      </w:r>
      <w:r>
        <w:t>Quartalsbericht zum Investitionsstatus an die Gesellschafter; ausserplanmaessige Sitzung bei Budgetueberschreitung &gt; 10 %.</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14. Februar 2020</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