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Gesellschafterbeschluss 2019/03 – Aenderung Gesellschaftsvertrag (Wettbewerbsverbot, Vinkulierung, Beirat)</w:t>
      </w:r>
    </w:p>
    <w:p>
      <w:pPr>
        <w:jc w:val="center"/>
      </w:pPr>
      <w:r>
        <w:t>Beschluss-Nr. 2019/03 vom 19. September 2019</w:t>
      </w:r>
    </w:p>
    <w:p/>
    <w:p>
      <w:pPr>
        <w:pStyle w:val="Heading3"/>
      </w:pPr>
      <w:r>
        <w:t>Praeambel</w:t>
      </w:r>
    </w:p>
    <w:p>
      <w:r>
        <w:t>Die Gesellschafter der Halbreiter Maschinenbau GmbH (HRB 47312, Amtsgericht Koeln) haben in der heute am Sitz der Gesellschaft, Industriestrasse 12, 50829 Koeln, abgehaltenen Gesellschafterversammlung den nachfolgenden Beschluss gefasst. Anwesend bzw. wirksam vertreten waren saemtliche Gesellschafter: Herr Klaus Mueller (60 % / 150 Geschaeftsanteile) und die Mueller Familien-GbR (40 % / 100 Geschaeftsanteile), vertreten durch Herrn Klaus Mueller. Das gesamte gezeichnete Stammkapital von 250.000 EUR war vertreten. Auf Foermlichkeiten der Einberufung wurde im Sinne des § 51 Abs. 3 GmbHG einstimmig verzichtet.</w:t>
      </w:r>
    </w:p>
    <w:p>
      <w:pPr>
        <w:pStyle w:val="Heading3"/>
      </w:pPr>
      <w:r>
        <w:t>1. Anlass</w:t>
      </w:r>
    </w:p>
    <w:p>
      <w:r>
        <w:t>Im Zuge der Vorbereitung einer moeglichen Beteiligung externer Investoren (Phase 'Family &amp; Friends' fuer max. 10 %) sowie aus Anlass der vorweggenommenen Erbfolge an die Familien-GbR (Anteilsabtretung 9. Juni 2014) erweist sich der bislang aus dem Jahr 1985 stammende Gesellschaftsvertrag in wesentlichen Punkten als anpassungsbeduerftig. Auf Empfehlung der Heuking Kuehn Lueer Wojtek (Memorandum vom 22. Juli 2019) werden insbesondere die Klauseln zur Vinkulierung, zum Wettbewerbsverbot der Gesellschafter und zur Einrichtung eines Beirats angepasst.</w:t>
      </w:r>
    </w:p>
    <w:p>
      <w:pPr>
        <w:pStyle w:val="Heading3"/>
      </w:pPr>
      <w:r>
        <w:t>2. Aenderungen im Einzelnen</w:t>
      </w:r>
    </w:p>
    <w:p>
      <w:pPr>
        <w:pStyle w:val="ListBullet"/>
      </w:pPr>
      <w:r>
        <w:t>§ 8 (Verfuegungen ueber Geschaeftsanteile): Anteilsabtretungen beduerfen kuenftig der Zustimmung von Gesellschaftern, die mindestens 75 % des Stammkapitals vertreten. Eine Abtretung an Abkoemmlinge erster Linie sowie an Familienpoolgesellschaften bleibt zustimmungsfrei.</w:t>
      </w:r>
    </w:p>
    <w:p>
      <w:pPr>
        <w:pStyle w:val="ListBullet"/>
      </w:pPr>
      <w:r>
        <w:t>§ 11 (Wettbewerbsverbot der Gesellschafter): Beteiligungen von Gesellschaftern an konkurrierenden Unternehmen im Maschinen- und Anlagenbau sind nur mit ausdruecklicher Zustimmung der Gesellschafterversammlung zulaessig.</w:t>
      </w:r>
    </w:p>
    <w:p>
      <w:pPr>
        <w:pStyle w:val="ListBullet"/>
      </w:pPr>
      <w:r>
        <w:t>§ 14 (Beirat): Es wird ein dreikoepfiger Beirat (1 Familienvertreter, 2 externe Mitglieder mit ausgewiesener Industrieerfahrung) eingerichtet. Sitzungen mind. zweimal jaehrlich; Vorlage von Mehrjahresplanung und Strategiebericht zur Zustimmung.</w:t>
      </w:r>
    </w:p>
    <w:p>
      <w:pPr>
        <w:pStyle w:val="ListBullet"/>
      </w:pPr>
      <w:r>
        <w:t>§ 15 (Ausschuettungspolitik): Mind. 50 % des Jahresueberschusses werden thesauriert, bis das Eigenkapital 35 % der Bilanzsumme erreicht. Mehr-Ausschuettungen erfordern qualifizierte Mehrheit.</w:t>
      </w:r>
    </w:p>
    <w:p>
      <w:pPr>
        <w:pStyle w:val="ListBullet"/>
      </w:pPr>
      <w:r>
        <w:t>§ 17 (Schiedsklausel): Streitigkeiten aus dem Vertrag werden durch ein DIS-Schiedsgericht in Koeln entschieden.</w:t>
      </w:r>
    </w:p>
    <w:p>
      <w:pPr>
        <w:pStyle w:val="Heading3"/>
      </w:pPr>
      <w:r>
        <w:t>3. Beschluss</w:t>
      </w:r>
    </w:p>
    <w:p>
      <w:pPr>
        <w:pStyle w:val="Heading4"/>
      </w:pPr>
      <w:r>
        <w:t>§ 1 Annahme</w:t>
      </w:r>
    </w:p>
    <w:p>
      <w:r>
        <w:rPr>
          <w:b/>
        </w:rPr>
        <w:t xml:space="preserve">(1) </w:t>
      </w:r>
      <w:r>
        <w:t>Die Gesellschafter beschliessen einstimmig die in Abschnitt 2 dargestellten Aenderungen.</w:t>
      </w:r>
    </w:p>
    <w:p>
      <w:r>
        <w:rPr>
          <w:b/>
        </w:rPr>
        <w:t xml:space="preserve">(2) </w:t>
      </w:r>
      <w:r>
        <w:t>Die Geschaeftsfuehrung wird ermaechtigt, die notarielle Beurkundung (Notarin Dr. Beate Hoffmann, Koeln, UR-Nr. 218/2019) sowie die Anmeldung zum Handelsregister zu veranlassen.</w:t>
      </w:r>
    </w:p>
    <w:p>
      <w:pPr>
        <w:pStyle w:val="Heading4"/>
      </w:pPr>
      <w:r>
        <w:t>§ 2 Beirat</w:t>
      </w:r>
    </w:p>
    <w:p>
      <w:r>
        <w:rPr>
          <w:b/>
        </w:rPr>
        <w:t xml:space="preserve">(1) </w:t>
      </w:r>
      <w:r>
        <w:t>Als erste externe Beiratsmitglieder werden bestellt: Herr Prof. Dr.-Ing. Bernhard Roth (RWTH Aachen, Lehrstuhl Maschinenelemente) sowie Herr Dr. Joerg Wiebold (ehem. CFO Voith Industrial Services).</w:t>
      </w:r>
    </w:p>
    <w:p>
      <w:r>
        <w:rPr>
          <w:b/>
        </w:rPr>
        <w:t xml:space="preserve">(2) </w:t>
      </w:r>
      <w:r>
        <w:t>Familienvertreterin: Frau Elke Mueller-Hartmann (Mueller Familien-GbR).</w:t>
      </w:r>
    </w:p>
    <w:p>
      <w:pPr>
        <w:pStyle w:val="Heading3"/>
      </w:pPr>
      <w:r>
        <w:t>Schlussfeststellung</w:t>
      </w:r>
    </w:p>
    <w:p>
      <w:r>
        <w:t>Die Versammlung wird um 11:45 Uhr geschlossen. Das Protokoll wird in zweifacher Ausfertigung erstellt; je eine Ausfertigung verbleibt bei der Gesellschaft und der Familien-GbR. Eine Abschrift wird der Wirtschaftspruefung sowie dem rechtlichen Berater (Heuking Kuehn Lueer Wojtek) zur Vorlage zur Verfuegung gestellt.</w:t>
      </w:r>
    </w:p>
    <w:p>
      <w:pPr>
        <w:pStyle w:val="Heading3"/>
      </w:pPr>
      <w:r>
        <w:t>Unterschriften</w:t>
      </w:r>
    </w:p>
    <w:p>
      <w:r>
        <w:t>Ort, Datum: Koeln, den 19. September 2019</w:t>
      </w:r>
    </w:p>
    <w:p>
      <w:r>
        <w:t>_________________________            _________________________</w:t>
        <w:br/>
        <w:t>Klaus Mueller                          Klaus Mueller</w:t>
        <w:br/>
        <w:t>Gesellschafter (60 %)                          fuer Mueller Familien-GbR (40 %)</w:t>
        <w:br/>
        <w:t>Halbreiter Maschinenbau GmbH                       Familien-GbR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