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2023/06 – Freigabe Investitionspaket Q3/2023</w:t>
      </w:r>
    </w:p>
    <w:p>
      <w:pPr>
        <w:jc w:val="center"/>
      </w:pPr>
      <w:r>
        <w:t>Beschluss-Nr. 2023/06 vom 11. September 2023</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Investitionsvorhaben Q3/2023</w:t>
      </w:r>
    </w:p>
    <w:p>
      <w:r>
        <w:t>Die Geschaeftsfuehrung legt das ueberarbeitete Investitionsprogramm Q3/2023 vor (Gesamtvolumen 2,15 Mio. EUR, Anlage 1). Wesentliche Einzelvorhaben:</w:t>
      </w:r>
    </w:p>
    <w:p>
      <w:pPr>
        <w:pStyle w:val="Heading3"/>
      </w:pPr>
      <w:r>
        <w:t>2. Einzelmassnahmen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Nr.</w:t>
            </w:r>
          </w:p>
        </w:tc>
        <w:tc>
          <w:tcPr>
            <w:tcW w:type="dxa" w:w="1728"/>
          </w:tcPr>
          <w:p>
            <w:r>
              <w:t>Massnahme</w:t>
            </w:r>
          </w:p>
        </w:tc>
        <w:tc>
          <w:tcPr>
            <w:tcW w:type="dxa" w:w="1728"/>
          </w:tcPr>
          <w:p>
            <w:r>
              <w:t>Investition (EUR)</w:t>
            </w:r>
          </w:p>
        </w:tc>
        <w:tc>
          <w:tcPr>
            <w:tcW w:type="dxa" w:w="1728"/>
          </w:tcPr>
          <w:p>
            <w:r>
              <w:t>Inbetriebnahme</w:t>
            </w:r>
          </w:p>
        </w:tc>
        <w:tc>
          <w:tcPr>
            <w:tcW w:type="dxa" w:w="1728"/>
          </w:tcPr>
          <w:p>
            <w:r>
              <w:t>ROI (Jahre)</w:t>
            </w:r>
          </w:p>
        </w:tc>
      </w:tr>
      <w:tr>
        <w:tc>
          <w:tcPr>
            <w:tcW w:type="dxa" w:w="1728"/>
          </w:tcPr>
          <w:p>
            <w:r>
              <w:t>1</w:t>
            </w:r>
          </w:p>
        </w:tc>
        <w:tc>
          <w:tcPr>
            <w:tcW w:type="dxa" w:w="1728"/>
          </w:tcPr>
          <w:p>
            <w:r>
              <w:t>Erweiterung Laserschneidanlage LS-800 um 5-Achs-Modul</w:t>
            </w:r>
          </w:p>
        </w:tc>
        <w:tc>
          <w:tcPr>
            <w:tcW w:type="dxa" w:w="1728"/>
          </w:tcPr>
          <w:p>
            <w:r>
              <w:t>640.000</w:t>
            </w:r>
          </w:p>
        </w:tc>
        <w:tc>
          <w:tcPr>
            <w:tcW w:type="dxa" w:w="1728"/>
          </w:tcPr>
          <w:p>
            <w:r>
              <w:t>Q2/2024</w:t>
            </w:r>
          </w:p>
        </w:tc>
        <w:tc>
          <w:tcPr>
            <w:tcW w:type="dxa" w:w="1728"/>
          </w:tcPr>
          <w:p>
            <w:r>
              <w:t>3,8</w:t>
            </w:r>
          </w:p>
        </w:tc>
      </w:tr>
      <w:tr>
        <w:tc>
          <w:tcPr>
            <w:tcW w:type="dxa" w:w="1728"/>
          </w:tcPr>
          <w:p>
            <w:r>
              <w:t>2</w:t>
            </w:r>
          </w:p>
        </w:tc>
        <w:tc>
          <w:tcPr>
            <w:tcW w:type="dxa" w:w="1728"/>
          </w:tcPr>
          <w:p>
            <w:r>
              <w:t>Servicewagen-Flotte (12 Fzg.) inkl. Wechsel auf E-Fahrzeuge</w:t>
            </w:r>
          </w:p>
        </w:tc>
        <w:tc>
          <w:tcPr>
            <w:tcW w:type="dxa" w:w="1728"/>
          </w:tcPr>
          <w:p>
            <w:r>
              <w:t>415.000</w:t>
            </w:r>
          </w:p>
        </w:tc>
        <w:tc>
          <w:tcPr>
            <w:tcW w:type="dxa" w:w="1728"/>
          </w:tcPr>
          <w:p>
            <w:r>
              <w:t>Q4/2023</w:t>
            </w:r>
          </w:p>
        </w:tc>
        <w:tc>
          <w:tcPr>
            <w:tcW w:type="dxa" w:w="1728"/>
          </w:tcPr>
          <w:p>
            <w:r>
              <w:t>n/a (TCO)</w:t>
            </w:r>
          </w:p>
        </w:tc>
      </w:tr>
      <w:tr>
        <w:tc>
          <w:tcPr>
            <w:tcW w:type="dxa" w:w="1728"/>
          </w:tcPr>
          <w:p>
            <w:r>
              <w:t>3</w:t>
            </w:r>
          </w:p>
        </w:tc>
        <w:tc>
          <w:tcPr>
            <w:tcW w:type="dxa" w:w="1728"/>
          </w:tcPr>
          <w:p>
            <w:r>
              <w:t>Erneuerung Stanzpresse Halle A (Retrofit Steuerung)</w:t>
            </w:r>
          </w:p>
        </w:tc>
        <w:tc>
          <w:tcPr>
            <w:tcW w:type="dxa" w:w="1728"/>
          </w:tcPr>
          <w:p>
            <w:r>
              <w:t>320.000</w:t>
            </w:r>
          </w:p>
        </w:tc>
        <w:tc>
          <w:tcPr>
            <w:tcW w:type="dxa" w:w="1728"/>
          </w:tcPr>
          <w:p>
            <w:r>
              <w:t>Q1/2024</w:t>
            </w:r>
          </w:p>
        </w:tc>
        <w:tc>
          <w:tcPr>
            <w:tcW w:type="dxa" w:w="1728"/>
          </w:tcPr>
          <w:p>
            <w:r>
              <w:t>2,9</w:t>
            </w:r>
          </w:p>
        </w:tc>
      </w:tr>
      <w:tr>
        <w:tc>
          <w:tcPr>
            <w:tcW w:type="dxa" w:w="1728"/>
          </w:tcPr>
          <w:p>
            <w:r>
              <w:t>4</w:t>
            </w:r>
          </w:p>
        </w:tc>
        <w:tc>
          <w:tcPr>
            <w:tcW w:type="dxa" w:w="1728"/>
          </w:tcPr>
          <w:p>
            <w:r>
              <w:t>Erweiterung Foerderbandanlage FB-200 Linie 3</w:t>
            </w:r>
          </w:p>
        </w:tc>
        <w:tc>
          <w:tcPr>
            <w:tcW w:type="dxa" w:w="1728"/>
          </w:tcPr>
          <w:p>
            <w:r>
              <w:t>285.000</w:t>
            </w:r>
          </w:p>
        </w:tc>
        <w:tc>
          <w:tcPr>
            <w:tcW w:type="dxa" w:w="1728"/>
          </w:tcPr>
          <w:p>
            <w:r>
              <w:t>Q2/2024</w:t>
            </w:r>
          </w:p>
        </w:tc>
        <w:tc>
          <w:tcPr>
            <w:tcW w:type="dxa" w:w="1728"/>
          </w:tcPr>
          <w:p>
            <w:r>
              <w:t>3,2</w:t>
            </w:r>
          </w:p>
        </w:tc>
      </w:tr>
      <w:tr>
        <w:tc>
          <w:tcPr>
            <w:tcW w:type="dxa" w:w="1728"/>
          </w:tcPr>
          <w:p>
            <w:r>
              <w:t>5</w:t>
            </w:r>
          </w:p>
        </w:tc>
        <w:tc>
          <w:tcPr>
            <w:tcW w:type="dxa" w:w="1728"/>
          </w:tcPr>
          <w:p>
            <w:r>
              <w:t>Photovoltaik-Aufdachanlage Verwaltungsgebaeude (220 kWp)</w:t>
            </w:r>
          </w:p>
        </w:tc>
        <w:tc>
          <w:tcPr>
            <w:tcW w:type="dxa" w:w="1728"/>
          </w:tcPr>
          <w:p>
            <w:r>
              <w:t>245.000</w:t>
            </w:r>
          </w:p>
        </w:tc>
        <w:tc>
          <w:tcPr>
            <w:tcW w:type="dxa" w:w="1728"/>
          </w:tcPr>
          <w:p>
            <w:r>
              <w:t>Q4/2023</w:t>
            </w:r>
          </w:p>
        </w:tc>
        <w:tc>
          <w:tcPr>
            <w:tcW w:type="dxa" w:w="1728"/>
          </w:tcPr>
          <w:p>
            <w:r>
              <w:t>7,5 (EnergieKost)</w:t>
            </w:r>
          </w:p>
        </w:tc>
      </w:tr>
      <w:tr>
        <w:tc>
          <w:tcPr>
            <w:tcW w:type="dxa" w:w="1728"/>
          </w:tcPr>
          <w:p>
            <w:r>
              <w:t>6</w:t>
            </w:r>
          </w:p>
        </w:tc>
        <w:tc>
          <w:tcPr>
            <w:tcW w:type="dxa" w:w="1728"/>
          </w:tcPr>
          <w:p>
            <w:r>
              <w:t>MES-Pilot Halle B (Schritt 1 von 3)</w:t>
            </w:r>
          </w:p>
        </w:tc>
        <w:tc>
          <w:tcPr>
            <w:tcW w:type="dxa" w:w="1728"/>
          </w:tcPr>
          <w:p>
            <w:r>
              <w:t>245.000</w:t>
            </w:r>
          </w:p>
        </w:tc>
        <w:tc>
          <w:tcPr>
            <w:tcW w:type="dxa" w:w="1728"/>
          </w:tcPr>
          <w:p>
            <w:r>
              <w:t>Q1/2024</w:t>
            </w:r>
          </w:p>
        </w:tc>
        <w:tc>
          <w:tcPr>
            <w:tcW w:type="dxa" w:w="1728"/>
          </w:tcPr>
          <w:p>
            <w:r>
              <w:t>n/a (Effizienz)</w:t>
            </w:r>
          </w:p>
        </w:tc>
      </w:tr>
      <w:tr>
        <w:tc>
          <w:tcPr>
            <w:tcW w:type="dxa" w:w="1728"/>
          </w:tcPr>
          <w:p>
            <w:r/>
          </w:p>
        </w:tc>
        <w:tc>
          <w:tcPr>
            <w:tcW w:type="dxa" w:w="1728"/>
          </w:tcPr>
          <w:p>
            <w:r>
              <w:t>Summe</w:t>
            </w:r>
          </w:p>
        </w:tc>
        <w:tc>
          <w:tcPr>
            <w:tcW w:type="dxa" w:w="1728"/>
          </w:tcPr>
          <w:p>
            <w:r>
              <w:t>2.150.000</w:t>
            </w:r>
          </w:p>
        </w:tc>
        <w:tc>
          <w:tcPr>
            <w:tcW w:type="dxa" w:w="1728"/>
          </w:tcPr>
          <w:p>
            <w:r/>
          </w:p>
        </w:tc>
        <w:tc>
          <w:tcPr>
            <w:tcW w:type="dxa" w:w="1728"/>
          </w:tcPr>
          <w:p>
            <w:r/>
          </w:p>
        </w:tc>
      </w:tr>
    </w:tbl>
    <w:p>
      <w:pPr>
        <w:pStyle w:val="Heading3"/>
      </w:pPr>
      <w:r>
        <w:t>3. Beschluss</w:t>
      </w:r>
    </w:p>
    <w:p>
      <w:pPr>
        <w:pStyle w:val="Heading4"/>
      </w:pPr>
      <w:r>
        <w:t>§ 1</w:t>
      </w:r>
    </w:p>
    <w:p>
      <w:r>
        <w:rPr>
          <w:b/>
        </w:rPr>
        <w:t xml:space="preserve">(1) </w:t>
      </w:r>
      <w:r>
        <w:t>Die Gesellschafter genehmigen das Investitionsprogramm Q3/2023 in Hoehe von 2,15 Mio. EUR vollumfaenglich.</w:t>
      </w:r>
    </w:p>
    <w:p>
      <w:pPr>
        <w:pStyle w:val="Heading4"/>
      </w:pPr>
      <w:r>
        <w:t>§ 2</w:t>
      </w:r>
    </w:p>
    <w:p>
      <w:r>
        <w:rPr>
          <w:b/>
        </w:rPr>
        <w:t xml:space="preserve">(1) </w:t>
      </w:r>
      <w:r>
        <w:t>Die Geschaeftsfuehrung ist ermaechtigt, Einzelmassnahmen flexibel umzusetzen, solange das Gesamtbudget nicht ueberschritten wird (+/− 8 % je Einzelposition zulaessig).</w:t>
      </w:r>
    </w:p>
    <w:p>
      <w:pPr>
        <w:pStyle w:val="Heading4"/>
      </w:pPr>
      <w:r>
        <w:t>§ 3</w:t>
      </w:r>
    </w:p>
    <w:p>
      <w:r>
        <w:rPr>
          <w:b/>
        </w:rPr>
        <w:t xml:space="preserve">(1) </w:t>
      </w:r>
      <w:r>
        <w:t>Finanzierung erfolgt 50 % aus Cashflow und 50 % aus der bestehenden Investitionslinie der Deutschen Bank AG.</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11. September 2023</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