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Hinweis – Erbfolgeregelung &amp; Testamentaehnliche Verfuegungen Herr Klaus Mueller</w:t>
      </w:r>
    </w:p>
    <w:p>
      <w:pPr>
        <w:jc w:val="center"/>
      </w:pPr>
      <w:r>
        <w:t>Interner Vermerk zur Nachlassplanung, Stand 4. November 2023</w:t>
      </w:r>
    </w:p>
    <w:p/>
    <w:p>
      <w:pPr>
        <w:pStyle w:val="Heading3"/>
      </w:pPr>
      <w:r>
        <w:t>1. Zweck</w:t>
      </w:r>
    </w:p>
    <w:p>
      <w:r>
        <w:t>Der vorliegende interne Vermerk dokumentiert die im Hinblick auf die Anteile von Herrn Klaus Mueller (geb. 12.02.1963, 60 % / 150 Geschaeftsanteile) bestehende Nachfolgeplanung der Halbreiter Maschinenbau GmbH. Er soll im Rahmen einer Due Diligence den potentiellen Erwerbern bzw. Pruefern Auskunft zur Stabilitaet der Anteilseignerstruktur geben.</w:t>
      </w:r>
    </w:p>
    <w:p>
      <w:pPr>
        <w:pStyle w:val="Heading3"/>
      </w:pPr>
      <w:r>
        <w:t>2. Gesellschaftsvertragliche Regelungen</w:t>
      </w:r>
    </w:p>
    <w:p>
      <w:r>
        <w:t>Der Gesellschaftsvertrag vom 14. Maerz 1985 (Fassung 19. September 2019) enthaelt in § 16 eine Erbfolgeklausel: Beim Tod eines Gesellschafters gehen dessen Geschaeftsanteile von Gesetzes wegen auf die jeweiligen Erben ueber; eine Einziehung kann nur erfolgen, wenn die Erben innerhalb von 12 Monaten keinen einheitlichen Bevollmaechtigten benennen oder die Gesellschaft durch das Verhalten der Erben in ihrer Geschaeftstaetigkeit ernsthaft beeintraechtigt wird.</w:t>
      </w:r>
    </w:p>
    <w:p>
      <w:pPr>
        <w:pStyle w:val="Heading3"/>
      </w:pPr>
      <w:r>
        <w:t>3. Testament und Erbvertrag</w:t>
      </w:r>
    </w:p>
    <w:p>
      <w:r>
        <w:t>Herr Klaus Mueller hat ein notarielles Testament errichtet (Notar Dr. Friedrich Wagner, Koeln, UR-Nr. 411/2019 vom 4. Juli 2019), das die Familien-GbR zur Alleinerbin der Geschaeftsanteile einsetzt. Ergaenzend besteht ein Erbvertrag mit Frau Elke Mueller-Hartmann (Ehefrau) sowie den Toechtern Frau Carolin Mueller (geb. 1994) und Frau Lena Mueller (geb. 1997). Letztwillige Verfuegungen zugunsten Dritter ausserhalb der Familie bestehen nach Erklaerung des Notars nicht.</w:t>
      </w:r>
    </w:p>
    <w:p>
      <w:pPr>
        <w:pStyle w:val="Heading3"/>
      </w:pPr>
      <w:r>
        <w:t>4. Familien-GbR</w:t>
      </w:r>
    </w:p>
    <w:p>
      <w:r>
        <w:t>Die Mueller Familien-GbR (gegruendet 8. Juni 2014) buendelt die Familienanteile dauerhaft. Geschaeftsfuehrer der GbR ist Herr Klaus Mueller; nachfolgend nach gesellschaftsvertraglicher Regelung der GbR Frau Elke Mueller-Hartmann und nachgelagert die juengere Tochter Frau Lena Mueller, die im Anschluss an ihr Ingenieurstudium an der TU Muenchen voraussichtlich ab 2026 in das Unternehmen eintritt.</w:t>
      </w:r>
    </w:p>
    <w:p>
      <w:pPr>
        <w:pStyle w:val="Heading3"/>
      </w:pPr>
      <w:r>
        <w:t>5. Risiken / Empfehlungen</w:t>
      </w:r>
    </w:p>
    <w:p>
      <w:r>
        <w:t>Eine Pflichtteils-Konstellation gegenueber Dritten ist nicht zu erwarten. Im Rahmen der Nachlassplanung wird mit der Heuking Kuehn Lueer Wojtek (Memo vom 12.09.2023) eine lebzeitige Uebertragung weiterer 10 % bis 2026 unter Vorbehalt eines Niessbrauchsrechts geprueft, um Erbschaftsteuer-Implikationen zu glaetten.</w:t>
      </w:r>
    </w:p>
    <w:p>
      <w:pPr>
        <w:pStyle w:val="Heading3"/>
      </w:pPr>
      <w:r>
        <w:t>Hinweis</w:t>
      </w:r>
    </w:p>
    <w:p>
      <w:r>
        <w:t>Dieses Dokument enthaelt sensible familienrechtliche Angaben und ist nur fuer den Datenraum-Index Q-VR 'Confidential' freigegeben.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