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Gesellschafterbeschluss – Digitalisierungsoffensive 2024–2026</w:t>
      </w:r>
    </w:p>
    <w:p>
      <w:pPr>
        <w:jc w:val="center"/>
      </w:pPr>
      <w:r>
        <w:t>Beschluss-Nr. 2024/03 vom 22. Februar 2024</w:t>
      </w:r>
    </w:p>
    <w:p/>
    <w:p>
      <w:pPr>
        <w:pStyle w:val="Heading3"/>
      </w:pPr>
      <w:r>
        <w:t>Präambel</w:t>
      </w:r>
    </w:p>
    <w:p>
      <w:r>
        <w:t>Die Gesellschafter der Halbreiter Maschinenbau GmbH haben in der heutigen außerordentlichen Gesellschafterversammlung am Sitz der Gesellschaft, Industriestraße 12, 50829 Köln, einstimmig den nachfolgenden Beschluss zur Verabschiedung der Digitalisierungsoffensive 2024–2026 gefasst.</w:t>
      </w:r>
    </w:p>
    <w:p>
      <w:r>
        <w:t>Die Gesellschafter halten fest, dass das gesamte gezeichnete Stammkapital in Höhe von 250.000 EUR vertreten ist und sämtliche Förmlichkeiten der Einladung gemäß § 51 GmbHG sowie § 9 des Gesellschaftsvertrages vom 14. März 1985 (zuletzt geändert am 19. September 2019) gewahrt wurden. Auf die Einhaltung weiterer Förmlichkeiten wurde einvernehmlich verzichtet.</w:t>
      </w:r>
    </w:p>
    <w:p>
      <w:pPr>
        <w:pStyle w:val="Heading3"/>
      </w:pPr>
      <w:r>
        <w:t>Tagesordnungspunkt 1 – Ausgangslage</w:t>
      </w:r>
    </w:p>
    <w:p>
      <w:r>
        <w:t>Die Geschäftsführung berichtet, dass die wettbewerbsfähige Fortentwicklung der Gesellschaft im Maschinen- und Anlagenbau eine umfassende Modernisierung der IT-Landschaft sowie der produktionsnahen digitalen Prozesse voraussetzt. Insbesondere die Anforderungen wichtiger Kunden (u. a. ThyssenKrupp Steel Europe AG, Bosch Rexroth AG, Hella GmbH &amp; Co. KGaA, Viessmann Climate Solutions SE und Dürr AG) im Bereich digitaler Lieferanten-Onboardings, EDI-Anbindung und IoT-fähiger Maschinen erfordern absehbar erhebliche Investitionen.</w:t>
      </w:r>
    </w:p>
    <w:p>
      <w:r>
        <w:t>Die vorgelegte Roadmap des CFO Frau Sandra Becker sieht ein Gesamtvolumen von bis zu 3,8 Mio. EUR über drei Geschäftsjahre vor (2024: 1,4 Mio. EUR; 2025: 1,5 Mio. EUR; 2026: 0,9 Mio. EUR).</w:t>
      </w:r>
    </w:p>
    <w:p>
      <w:pPr>
        <w:pStyle w:val="Heading3"/>
      </w:pPr>
      <w:r>
        <w:t>Tagesordnungspunkt 2 – Maßnahmenpaket</w:t>
      </w:r>
    </w:p>
    <w:p>
      <w:pPr>
        <w:pStyle w:val="ListBullet"/>
      </w:pPr>
      <w:r>
        <w:t>MES-System (Manufacturing Execution System) zur Echtzeitsteuerung der Produktion; Anbieter wird im Q2/2024 nach Ausschreibung ausgewählt; Budget 850.000 EUR.</w:t>
      </w:r>
    </w:p>
    <w:p>
      <w:pPr>
        <w:pStyle w:val="ListBullet"/>
      </w:pPr>
      <w:r>
        <w:t>Erweiterung SAP S/4HANA um die Module PP-PI und QM; Implementierung durch externen Partner; Budget 620.000 EUR.</w:t>
      </w:r>
    </w:p>
    <w:p>
      <w:pPr>
        <w:pStyle w:val="ListBullet"/>
      </w:pPr>
      <w:r>
        <w:t>Predictive-Maintenance-Plattform für die Pressenlinie PL-500 und die Laserschneidanlage LS-800; Pilot bei Großkunde ThyssenKrupp Steel Europe AG; Budget 410.000 EUR.</w:t>
      </w:r>
    </w:p>
    <w:p>
      <w:pPr>
        <w:pStyle w:val="ListBullet"/>
      </w:pPr>
      <w:r>
        <w:t>Cloud-Migration des CRM (Salesforce Sales Cloud Enterprise) sowie Aufbau eines Kunden-Self-Service-Portals; Budget 280.000 EUR.</w:t>
      </w:r>
    </w:p>
    <w:p>
      <w:pPr>
        <w:pStyle w:val="ListBullet"/>
      </w:pPr>
      <w:r>
        <w:t>Cybersecurity-Programm gemaess BSI IT-Grundschutz und TISAX-Vorbereitung; Aufbau eines internen ISMS; Budget 540.000 EUR.</w:t>
      </w:r>
    </w:p>
    <w:p>
      <w:pPr>
        <w:pStyle w:val="ListBullet"/>
      </w:pPr>
      <w:r>
        <w:t>Schulungs- und Change-Programm "MMB Digital 2026"; mind. 1,5 Tage je gewerblichem Mitarbeitenden pro Jahr; Budget 320.000 EUR.</w:t>
      </w:r>
    </w:p>
    <w:p>
      <w:pPr>
        <w:pStyle w:val="ListBullet"/>
      </w:pPr>
      <w:r>
        <w:t>Aufbau einer dedizierten Stabsstelle "Digitalisierung &amp; Daten" (1,0 FTE Lead + 2,0 FTE Spezialist:in) als direkte Berichtsachse an den CFO.</w:t>
      </w:r>
    </w:p>
    <w:p>
      <w:pPr>
        <w:pStyle w:val="Heading3"/>
      </w:pPr>
      <w:r>
        <w:t>Tagesordnungspunkt 3 – Finanzierung</w:t>
      </w:r>
    </w:p>
    <w:p>
      <w:r>
        <w:t>Die Finanzierung erfolgt aus dem operativen Cashflow sowie aus dem mit der Deutschen Bank AG, Filiale Köln, am 7. November 2023 geschlossenen Rahmenkreditvertrag (Tranche »Investitionslinie«, aktuell unbeansprucht 4,5 Mio. EUR). Eine Inanspruchnahme erfolgt nur, soweit der Zinsdeckungsgrad gemäß Covenant »ICR &gt; 4,0x« gewahrt bleibt. Die Gesellschafter ermächtigen die Geschäftsführung, Kreditinanspruchnahmen bis 1,5 Mio. EUR ohne weiteren Zustimmungsvorbehalt vorzunehmen; darüber hinausgehende Inanspruchnahmen bedürfen eines gesonderten Gesellschafterbeschlusses.</w:t>
      </w:r>
    </w:p>
    <w:p>
      <w:pPr>
        <w:pStyle w:val="Heading3"/>
      </w:pPr>
      <w:r>
        <w:t>Tagesordnungspunkt 4 – Beschluss</w:t>
      </w:r>
    </w:p>
    <w:p>
      <w:pPr>
        <w:pStyle w:val="Heading4"/>
      </w:pPr>
      <w:r>
        <w:t>§ 1 Genehmigung</w:t>
      </w:r>
    </w:p>
    <w:p>
      <w:r>
        <w:rPr>
          <w:b/>
        </w:rPr>
        <w:t xml:space="preserve">(1) </w:t>
      </w:r>
      <w:r>
        <w:t>Die Gesellschafter genehmigen das in Tagesordnungspunkt 2 dargestellte Maßnahmenpaket einstimmig und in vollem Umfang.</w:t>
      </w:r>
    </w:p>
    <w:p>
      <w:r>
        <w:rPr>
          <w:b/>
        </w:rPr>
        <w:t xml:space="preserve">(2) </w:t>
      </w:r>
      <w:r>
        <w:t>Die Geschäftsführung wird beauftragt und ermächtigt, sämtliche zur Umsetzung erforderlichen Verträge zu verhandeln, abzuschließen und zu vollziehen.</w:t>
      </w:r>
    </w:p>
    <w:p>
      <w:pPr>
        <w:pStyle w:val="Heading4"/>
      </w:pPr>
      <w:r>
        <w:t>§ 2 Berichterstattung</w:t>
      </w:r>
    </w:p>
    <w:p>
      <w:r>
        <w:rPr>
          <w:b/>
        </w:rPr>
        <w:t xml:space="preserve">(1) </w:t>
      </w:r>
      <w:r>
        <w:t>Die Geschäftsführung berichtet den Gesellschaftern quartalsweise schriftlich über Fortschritt, Budgetauslastung, identifizierte Risiken sowie über realisierte Mehrwerte.</w:t>
      </w:r>
    </w:p>
    <w:p>
      <w:r>
        <w:rPr>
          <w:b/>
        </w:rPr>
        <w:t xml:space="preserve">(2) </w:t>
      </w:r>
      <w:r>
        <w:t>Eine Zwischenbilanz erfolgt zum 31. Dezember 2024 sowie ein Abschlussbericht zum 31. März 2027.</w:t>
      </w:r>
    </w:p>
    <w:p>
      <w:pPr>
        <w:pStyle w:val="Heading4"/>
      </w:pPr>
      <w:r>
        <w:t>§ 3 Aufsichts- und Beiratsbefassung</w:t>
      </w:r>
    </w:p>
    <w:p>
      <w:r>
        <w:rPr>
          <w:b/>
        </w:rPr>
        <w:t xml:space="preserve">(1) </w:t>
      </w:r>
      <w:r>
        <w:t>Der Beirat ist zur jährlichen Sitzung im November 2024, 2025 und 2026 mit einem Statusbericht zu befassen.</w:t>
      </w:r>
    </w:p>
    <w:p>
      <w:pPr>
        <w:pStyle w:val="Heading3"/>
      </w:pPr>
      <w:r>
        <w:t>Schlussfeststellung</w:t>
      </w:r>
    </w:p>
    <w:p>
      <w:r>
        <w:t>Der Vorsitzende der Versammlung, Herr Klaus Müller, stellt fest, dass der Beschluss einstimmig gefasst wurde. Es wurden keine Einwendungen gegen Form und Inhalt erhoben. Das Protokoll wird zu den Gesellschaftsakten genommen und ist Bestandteil des Beschlussbuchs.</w:t>
      </w:r>
    </w:p>
    <w:p>
      <w:pPr>
        <w:pStyle w:val="Heading3"/>
      </w:pPr>
      <w:r>
        <w:t>Unterschriften</w:t>
      </w:r>
    </w:p>
    <w:p>
      <w:r>
        <w:t>Ort, Datum: Köln, den 22. Februar 2024</w:t>
      </w:r>
    </w:p>
    <w:p>
      <w:r>
        <w:t>_________________________            _________________________</w:t>
        <w:br/>
        <w:t>Klaus Müller                          für Müller Familien-GbR</w:t>
        <w:br/>
        <w:t>Gesellschafter (60 %)                          Gesellschafter (40 %)</w:t>
        <w:br/>
        <w:t>i. e. S.                       vertreten durch Klaus Müller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