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Handlungsvollmacht für den Einkauf – Herr Stefan Braun</w:t>
      </w:r>
    </w:p>
    <w:p>
      <w:pPr>
        <w:jc w:val="center"/>
      </w:pPr>
      <w:r>
        <w:t>Bevollmächtigung gemäß §§ 54 ff. HGB</w:t>
      </w:r>
    </w:p>
    <w:p/>
    <w:p>
      <w:pPr>
        <w:pStyle w:val="Heading3"/>
      </w:pPr>
      <w:r>
        <w:t>1. Vollmachtgeberin</w:t>
      </w:r>
    </w:p>
    <w:p>
      <w:r>
        <w:t>Halbreiter Maschinenbau GmbH, Industriestraße 12, 50829 Köln, eingetragen im Handelsregister des Amtsgerichts Köln unter HRB 47312, vertreten durch die Geschäftsführer Klaus Müller und Sandra Becker (jeweils einzelvertretungsberechtigt).</w:t>
      </w:r>
    </w:p>
    <w:p>
      <w:r>
        <w:t>Die Vollmacht wird auf Beschluss der Geschäftsführung vom 12. Januar 2024 (Geschäftsleitungsprotokoll Nr. 2024/01-04) erteilt.</w:t>
      </w:r>
    </w:p>
    <w:p>
      <w:pPr>
        <w:pStyle w:val="Heading3"/>
      </w:pPr>
      <w:r>
        <w:t>2. Bevollmächtigter</w:t>
      </w:r>
    </w:p>
    <w:p>
      <w:r>
        <w:t>Herr Stefan Braun, geboren am 6. Mai 1972, wohnhaft Bismarckstraße 47, 50672 Köln, im Betrieb der Vollmachtgeberin tätig als Leiter Strategischer Einkauf seit 1. Februar 2018.</w:t>
      </w:r>
    </w:p>
    <w:p>
      <w:pPr>
        <w:pStyle w:val="Heading3"/>
      </w:pPr>
      <w:r>
        <w:t>3. Umfang der Vollmacht</w:t>
      </w:r>
    </w:p>
    <w:p>
      <w:pPr>
        <w:pStyle w:val="Heading4"/>
      </w:pPr>
      <w:r>
        <w:t>§ 1 Allgemeines</w:t>
      </w:r>
    </w:p>
    <w:p>
      <w:r>
        <w:rPr>
          <w:b/>
        </w:rPr>
        <w:t xml:space="preserve">(1) </w:t>
      </w:r>
      <w:r>
        <w:t>Dem Bevollmächtigten wird eine Handlungsvollmacht gemäß § 54 Abs. 1 HGB erteilt, die alle Geschäfte und Rechtshandlungen umfasst, die der Betrieb eines Handelsgewerbes der Vollmachtgeberin gewöhnlich mit sich bringt, insbesondere im Bereich des Einkaufs von Roh-, Hilfs- und Betriebsstoffen, Halbzeugen, Komponenten, Investitionsgütern und Dienstleistungen.</w:t>
      </w:r>
    </w:p>
    <w:p>
      <w:r>
        <w:rPr>
          <w:b/>
        </w:rPr>
        <w:t xml:space="preserve">(2) </w:t>
      </w:r>
      <w:r>
        <w:t>Die Vollmacht berechtigt nicht zu Geschäften, die in § 54 Abs. 2 HGB genannt sind (Veräußerung oder Belastung von Grundstücken, Eingehung von Wechselverbindlichkeiten, Aufnahme von Darlehen, Prozessführung).</w:t>
      </w:r>
    </w:p>
    <w:p>
      <w:pPr>
        <w:pStyle w:val="Heading4"/>
      </w:pPr>
      <w:r>
        <w:t>§ 2 Betragsmäßige Grenzen</w:t>
      </w:r>
    </w:p>
    <w:p>
      <w:r>
        <w:rPr>
          <w:b/>
        </w:rPr>
        <w:t xml:space="preserve">(1) </w:t>
      </w:r>
      <w:r>
        <w:t>Einzelbestellungen bis zu einem Auftragsvolumen von 250.000 EUR (netto) je Bestellung dürfen ohne weitere Mitzeichnung getätigt werden.</w:t>
      </w:r>
    </w:p>
    <w:p>
      <w:r>
        <w:rPr>
          <w:b/>
        </w:rPr>
        <w:t xml:space="preserve">(2) </w:t>
      </w:r>
      <w:r>
        <w:t>Bei Einzelbestellungen über 250.000 EUR bis 750.000 EUR ist die Mitzeichnung des CFO Frau Sandra Becker erforderlich.</w:t>
      </w:r>
    </w:p>
    <w:p>
      <w:r>
        <w:rPr>
          <w:b/>
        </w:rPr>
        <w:t xml:space="preserve">(3) </w:t>
      </w:r>
      <w:r>
        <w:t>Über 750.000 EUR hinausgehende Einzelbestellungen bedürfen eines Beschlusses der Gesamtgeschäftsführung.</w:t>
      </w:r>
    </w:p>
    <w:p>
      <w:r>
        <w:rPr>
          <w:b/>
        </w:rPr>
        <w:t xml:space="preserve">(4) </w:t>
      </w:r>
      <w:r>
        <w:t>Rahmenverträge unabhängig vom Jahresvolumen bedürfen stets der Gegenzeichnung durch die Geschäftsführung.</w:t>
      </w:r>
    </w:p>
    <w:p>
      <w:pPr>
        <w:pStyle w:val="Heading4"/>
      </w:pPr>
      <w:r>
        <w:t>§ 3 Lieferantenbeziehungen</w:t>
      </w:r>
    </w:p>
    <w:p>
      <w:r>
        <w:rPr>
          <w:b/>
        </w:rPr>
        <w:t xml:space="preserve">(1) </w:t>
      </w:r>
      <w:r>
        <w:t>Die Auswahl, Bewertung und Freigabe von Lieferanten erfolgt gemäß der internen Richtlinie LIEF-RL-001 in Verbindung mit dem Risikomanagement-Handbuch.</w:t>
      </w:r>
    </w:p>
    <w:p>
      <w:r>
        <w:rPr>
          <w:b/>
        </w:rPr>
        <w:t xml:space="preserve">(2) </w:t>
      </w:r>
      <w:r>
        <w:t>Bei Lieferanten mit kritischer Einstufung (Schunk GmbH &amp; Co. KG, Trumpf SE + Co. KG, Siemens AG – Antriebstechnik, Igus GmbH) ist die jährliche Auditierung sicherzustellen.</w:t>
      </w:r>
    </w:p>
    <w:p>
      <w:pPr>
        <w:pStyle w:val="Heading4"/>
      </w:pPr>
      <w:r>
        <w:t>§ 4 Compliance</w:t>
      </w:r>
    </w:p>
    <w:p>
      <w:r>
        <w:rPr>
          <w:b/>
        </w:rPr>
        <w:t xml:space="preserve">(1) </w:t>
      </w:r>
      <w:r>
        <w:t>Der Bevollmächtigte verpflichtet sich zur strikten Einhaltung der Compliance-Richtlinie der Gesellschaft, insbesondere der Antikorruptions-Richtlinie COMP-RL-004 sowie der Exportkontroll-Richtlinie COMP-RL-006.</w:t>
      </w:r>
    </w:p>
    <w:p>
      <w:r>
        <w:rPr>
          <w:b/>
        </w:rPr>
        <w:t xml:space="preserve">(2) </w:t>
      </w:r>
      <w:r>
        <w:t>Geschenke und Zuwendungen sind nur im Rahmen der internen Geschenke-Richtlinie zulässig; jede Annahme oberhalb von 50 EUR ist meldepflichtig.</w:t>
      </w:r>
    </w:p>
    <w:p>
      <w:pPr>
        <w:pStyle w:val="Heading3"/>
      </w:pPr>
      <w:r>
        <w:t>4. Eintragung ins Handelsregister</w:t>
      </w:r>
    </w:p>
    <w:p>
      <w:r>
        <w:t>Eine Eintragung als Prokurist gemäß § 48 HGB ist nicht vorgesehen. Eine Anmeldung der Handlungsvollmacht zum Handelsregister findet daher nicht statt; sie ist gleichwohl in der internen Vollmachtsdatenbank zu hinterlegen und im SAP-Bestellsystem hinterlegt (User-Rolle »MMB_EK_HV_250k«).</w:t>
      </w:r>
    </w:p>
    <w:p>
      <w:pPr>
        <w:pStyle w:val="Heading3"/>
      </w:pPr>
      <w:r>
        <w:t>5. Dauer und Widerruf</w:t>
      </w:r>
    </w:p>
    <w:p>
      <w:r>
        <w:t>Die Vollmacht gilt ab Unterzeichnung bis auf Widerruf. Der Widerruf kann jederzeit ohne Angabe von Gründen erfolgen und ist dem Bevollmächtigten schriftlich anzuzeigen; sie endet zudem automatisch mit Beendigung des Anstellungsverhältnisses.</w:t>
      </w:r>
    </w:p>
    <w:p>
      <w:pPr>
        <w:pStyle w:val="Heading3"/>
      </w:pPr>
      <w:r>
        <w:t>Unterschriften</w:t>
      </w:r>
    </w:p>
    <w:p>
      <w:r>
        <w:t>Ort, Datum: Köln, den 15. Januar 2024</w:t>
      </w:r>
    </w:p>
    <w:p>
      <w:r>
        <w:t>_________________________            _________________________</w:t>
        <w:br/>
        <w:t>Klaus Müller                          Sandra Becker</w:t>
        <w:br/>
        <w:t>Geschäftsführer (CEO)                          Geschäftsführerin (CFO)</w:t>
        <w:br/>
        <w:t>Halbreiter Maschinenbau GmbH                       Halbreiter Maschinenbau GmbH</w:t>
      </w:r>
    </w:p>
    <w:p>
      <w:pPr>
        <w:pStyle w:val="Heading3"/>
      </w:pPr>
      <w:r>
        <w:t>Kenntnisnahme Bevollmächtigter</w:t>
      </w:r>
    </w:p>
    <w:p>
      <w:r>
        <w:t>Ich, Stefan Braun, habe vorstehende Handlungsvollmacht zur Kenntnis genommen und akzeptiere die darin geregelten Befugnisse und Beschränkungen.</w:t>
      </w:r>
    </w:p>
    <w:p>
      <w:r>
        <w:t>Köln, den 15. Januar 2024</w:t>
      </w:r>
    </w:p>
    <w:p>
      <w:r>
        <w:t>_________________________</w:t>
        <w:br/>
        <w:t>Stefan Braun, Leiter Strategischer Einkauf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