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Prozess- und Generalvollmacht – Heuking Kuehn Lueer Wojtek Partnerschaft mbB</w:t>
      </w:r>
    </w:p>
    <w:p>
      <w:pPr>
        <w:jc w:val="center"/>
      </w:pPr>
      <w:r>
        <w:t>Wirksam ab 1. Januar 2024</w:t>
      </w:r>
    </w:p>
    <w:p/>
    <w:p>
      <w:pPr>
        <w:pStyle w:val="Heading3"/>
      </w:pPr>
      <w:r>
        <w:t>1. Vollmachtgeberin</w:t>
      </w:r>
    </w:p>
    <w:p>
      <w:r>
        <w:t>Halbreiter Maschinenbau GmbH, vertreten durch die Geschaeftsfuehrer Klaus Mueller und Sandra Becker.</w:t>
      </w:r>
    </w:p>
    <w:p>
      <w:pPr>
        <w:pStyle w:val="Heading3"/>
      </w:pPr>
      <w:r>
        <w:t>2. Bevollmaechtigte</w:t>
      </w:r>
    </w:p>
    <w:p>
      <w:r>
        <w:t>Heuking Kuehn Lueer Wojtek Partnerschaft mbB, Standort Koeln, Magnusstrasse 13, 50672 Koeln, vertreten durch die mandatsfuehrenden Rechtsanwaelte: Frau Dr. Sabine Erbach (Gesellschaftsrecht / M&amp;A), Herr RA Dr. Maximilian Brandl (Arbeitsrecht), Herr RA Dr. Constantin Wilms (Litigation).</w:t>
      </w:r>
    </w:p>
    <w:p>
      <w:pPr>
        <w:pStyle w:val="Heading3"/>
      </w:pPr>
      <w:r>
        <w:t>3. Gegenstand der Vollmacht</w:t>
      </w:r>
    </w:p>
    <w:p>
      <w:r>
        <w:t>Die Bevollmaechtigte wird ermaechtigt, die Vollmachtgeberin in allen rechtlichen Angelegenheiten umfassend zu vertreten. Die Vollmacht umfasst insbesondere:</w:t>
      </w:r>
    </w:p>
    <w:p>
      <w:r>
        <w:t>(a) die Vertretung vor allen Gerichten und Behoerden samtlicher Instanzen einschliesslich Schiedsgerichten und Mediationsverfahren;</w:t>
      </w:r>
    </w:p>
    <w:p>
      <w:r>
        <w:t>(b) die Verhandlung, Pruefung und den Abschluss von Vertraegen (insbesondere Liefer-, Kunden-, Konzern- und Beteiligungsvertraege) im Rahmen einer fallbezogenen Beauftragung;</w:t>
      </w:r>
    </w:p>
    <w:p>
      <w:r>
        <w:t>(c) die Vertretung in arbeitsrechtlichen Streitigkeiten, Aufhebungs- und Sozialplan-Verhandlungen, Einigungsstellenverfahren sowie Einstweilige-Verfuegungs-Verfahren;</w:t>
      </w:r>
    </w:p>
    <w:p>
      <w:r>
        <w:t>(d) die Vertretung gegenueber Behoerden und Kartellbehoerden im Rahmen von M&amp;A-Transaktionen, Fusionskontroll- und Beihilfeverfahren;</w:t>
      </w:r>
    </w:p>
    <w:p>
      <w:r>
        <w:t>(e) die Entgegennahme und Zustellung saemtlicher Schriftstuecke.</w:t>
      </w:r>
    </w:p>
    <w:p>
      <w:pPr>
        <w:pStyle w:val="Heading3"/>
      </w:pPr>
      <w:r>
        <w:t>4. Untervollmacht</w:t>
      </w:r>
    </w:p>
    <w:p>
      <w:r>
        <w:t>Die Bevollmaechtigte ist berechtigt, im Rahmen der internen Mandatsfuehrung Untervollmachten an weitere Mitglieder der Sozietaet zu erteilen.</w:t>
      </w:r>
    </w:p>
    <w:p>
      <w:pPr>
        <w:pStyle w:val="Heading3"/>
      </w:pPr>
      <w:r>
        <w:t>5. Honorierung und Mandat</w:t>
      </w:r>
    </w:p>
    <w:p>
      <w:r>
        <w:t>Die Honorierung erfolgt auf Grundlage des Mandatsvertrages vom 5. Januar 2014 (zuletzt geaendert am 10. Dezember 2023), in der Regel auf Basis von Stundensaetzen (Partner 540 EUR, Senior Associate 390 EUR, Associate 280 EUR, jeweils zzgl. USt.). Pauschalvergaben sind im Einzelfall vereinbar.</w:t>
      </w:r>
    </w:p>
    <w:p>
      <w:pPr>
        <w:pStyle w:val="Heading3"/>
      </w:pPr>
      <w:r>
        <w:t>6. Laufzeit</w:t>
      </w:r>
    </w:p>
    <w:p>
      <w:r>
        <w:t>Die Vollmacht gilt unbefristet bis auf jederzeitigen schriftlichen Widerruf. Sie ersetzt alle vorhergehenden Vollmachten an die Bevollmaechtigte.</w:t>
      </w:r>
    </w:p>
    <w:p>
      <w:pPr>
        <w:pStyle w:val="Heading3"/>
      </w:pPr>
      <w:r>
        <w:t>Unterschriften</w:t>
      </w:r>
    </w:p>
    <w:p>
      <w:r>
        <w:t>Ort, Datum: Koeln, den 2. Januar 2024</w:t>
      </w:r>
    </w:p>
    <w:p>
      <w:r>
        <w:t>_________________________            _________________________</w:t>
        <w:br/>
        <w:t>Klaus Mueller                          Sandra Becker</w:t>
        <w:br/>
        <w:t>Geschaeftsfuehrer                          Geschaeftsfuehrerin</w:t>
        <w:br/>
        <w:t>Halbreiter Maschinenbau GmbH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