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info@halbreiter-maschinenbau.de</w:t>
      </w:r>
      <w:r>
        <w:rPr>
          <w:sz w:val="18"/>
        </w:rPr>
        <w:t xml:space="preserve">  |  HRB 47312, Amtsgericht Köln</w:t>
      </w:r>
    </w:p>
    <w:p>
      <w:r>
        <w:t>────────────────────────────────────────────────────────────────────────────────</w:t>
      </w:r>
    </w:p>
    <w:p>
      <w:pPr>
        <w:pStyle w:val="Heading2"/>
      </w:pPr>
      <w:r>
        <w:t>Gesellschaftsvertrag</w:t>
      </w:r>
    </w:p>
    <w:p>
      <w:pPr>
        <w:jc w:val="center"/>
      </w:pPr>
      <w:r>
        <w:t>in der Fassung vom 15. Januar 2019</w:t>
      </w:r>
    </w:p>
    <w:p/>
    <w:p>
      <w:pPr>
        <w:pStyle w:val="Heading3"/>
      </w:pPr>
      <w:r>
        <w:t>§ 1 Firma und Sitz</w:t>
      </w:r>
    </w:p>
    <w:p>
      <w:r>
        <w:t>(1) Die Gesellschaft führt die Firma: Halbreiter Maschinenbau GmbH.</w:t>
        <w:br/>
        <w:t>(2) Sitz der Gesellschaft ist Köln.</w:t>
        <w:br/>
        <w:t>(3) Das Geschäftsjahr ist das Kalenderjahr.</w:t>
      </w:r>
    </w:p>
    <w:p>
      <w:pPr>
        <w:pStyle w:val="Heading3"/>
      </w:pPr>
      <w:r>
        <w:t>§ 2 Gegenstand des Unternehmens</w:t>
      </w:r>
    </w:p>
    <w:p>
      <w:r>
        <w:t>Entwicklung, Herstellung und Vertrieb von Sondermaschinen und Anlagen für die metallverarbeitende Industrie. Die Gesellschaft ist berechtigt, alle Geschäfte vorzunehmen und Maßnahmen zu ergreifen, die dem Gesellschaftszweck zu dienen geeignet sind.</w:t>
      </w:r>
    </w:p>
    <w:p>
      <w:pPr>
        <w:pStyle w:val="Heading3"/>
      </w:pPr>
      <w:r>
        <w:t>§ 3 Stammkapital und Geschäftsanteile</w:t>
      </w:r>
    </w:p>
    <w:p>
      <w:r>
        <w:t>(1) Das Stammkapital der Gesellschaft beträgt 250.000 € (in Worten: Zweihundertfünfzigtausend Euro).</w:t>
        <w:br/>
        <w:t>(2) Hiervon übernimmt Klaus Müller einen Geschäftsanteil im Nennwert von 150.000 € (60 %) und Müller Familien-GbR einen Geschäftsanteil im Nennwert von 100.000 € (40 %).</w:t>
      </w:r>
    </w:p>
    <w:p>
      <w:pPr>
        <w:pStyle w:val="Heading3"/>
      </w:pPr>
      <w:r>
        <w:t>§ 4 Geschäftsführung und Vertretung</w:t>
      </w:r>
    </w:p>
    <w:p>
      <w:r>
        <w:t>(1) Die Gesellschaft hat einen oder mehrere Geschäftsführer.</w:t>
        <w:br/>
        <w:t>(2) Ist nur ein Geschäftsführer bestellt, so vertritt er die Gesellschaft allein. Sind mehrere Geschäftsführer bestellt, so wird die Gesellschaft durch zwei Geschäftsführer gemeinsam oder durch einen Geschäftsführer in Gemeinschaft mit einem Prokuristen vertreten.</w:t>
        <w:br/>
        <w:t>(3) Die Gesellschafterversammlung kann einzelnen Geschäftsführern Einzelvertretungsbefugnis und die Befreiung von den Beschränkungen des § 181 BGB erteilen.</w:t>
      </w:r>
    </w:p>
    <w:p>
      <w:pPr>
        <w:pStyle w:val="Heading3"/>
      </w:pPr>
      <w:r>
        <w:t>§ 5 Gesellschafterversammlung</w:t>
      </w:r>
    </w:p>
    <w:p>
      <w:r>
        <w:t>(1) Die ordentliche Gesellschafterversammlung findet jährlich innerhalb von acht Monaten nach Ablauf des Geschäftsjahres statt.</w:t>
        <w:br/>
        <w:t>(2) Die Einberufung erfolgt durch den Geschäftsführer mittels eingeschriebenen Briefes unter Einhaltung einer Frist von zwei Wochen.</w:t>
        <w:br/>
        <w:t>(3) Beschlüsse der Gesellschafterversammlung bedürfen, soweit nicht das Gesetz oder dieser Vertrag etwas anderes bestimmen, der einfachen Mehrheit der abgegebenen Stimmen.</w:t>
      </w:r>
    </w:p>
    <w:p>
      <w:pPr>
        <w:pStyle w:val="Heading3"/>
      </w:pPr>
      <w:r>
        <w:t>§ 6 Jahresabschluss und Gewinnverwendung</w:t>
      </w:r>
    </w:p>
    <w:p>
      <w:r>
        <w:t>(1) Binnen drei Monaten nach Ablauf des Geschäftsjahres ist ein Jahresabschluss aufzustellen.</w:t>
        <w:br/>
        <w:t>(2) Über die Verwendung des Jahresüberschusses beschließt die Gesellschafterversammlung.</w:t>
      </w:r>
    </w:p>
    <w:p/>
    <w:p>
      <w:r>
        <w:t>Köln, den 15. Januar 2019</w:t>
      </w:r>
    </w:p>
    <w:p/>
    <w:p>
      <w:r>
        <w:t>_________________________        _________________________</w:t>
      </w:r>
    </w:p>
    <w:p>
      <w:r>
        <w:t>Klaus Müller                   Müller Familien-GbR, vertr. d. d. Gesellschafter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