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Halbreiter Maschinenbau GmbH</w:t>
      </w:r>
    </w:p>
    <w:p>
      <w:r>
        <w:rPr>
          <w:sz w:val="18"/>
        </w:rPr>
        <w:t>Industriestraße 12, 50829 Köln  |  HRB 47312, Amtsgericht Köln</w:t>
      </w:r>
    </w:p>
    <w:p>
      <w:r>
        <w:t>────────────────────────────────────────────────────────────────────────────────</w:t>
      </w:r>
    </w:p>
    <w:p>
      <w:pPr>
        <w:pStyle w:val="Heading2"/>
      </w:pPr>
      <w:r>
        <w:t>Bankbuergschaft / Exportgarantie – Deutsche Bank AG / Auftrag Dürr AG Mexiko</w:t>
      </w:r>
    </w:p>
    <w:p>
      <w:pPr>
        <w:jc w:val="center"/>
      </w:pPr>
      <w:r>
        <w:t>Buergschaftsurkunde Nr. DB-MMB-2023-EXP-018 vom 17. Juli 2023</w:t>
      </w:r>
    </w:p>
    <w:p/>
    <w:p>
      <w:pPr>
        <w:pStyle w:val="Heading3"/>
      </w:pPr>
      <w:r>
        <w:t>Buergin</w:t>
      </w:r>
    </w:p>
    <w:p>
      <w:r>
        <w:t>Deutsche Bank AG, Taunusanlage 12, 60325 Frankfurt am Main, vertreten durch die Filiale Koeln, handelnd fuer die Halbreiter Maschinenbau GmbH als Auftraggeberin.</w:t>
      </w:r>
    </w:p>
    <w:p>
      <w:pPr>
        <w:pStyle w:val="Heading3"/>
      </w:pPr>
      <w:r>
        <w:t>Beguenstigter</w:t>
      </w:r>
    </w:p>
    <w:p>
      <w:r>
        <w:t>Dürr AG, Carl-Benz-Strasse 34, 74321 Bietigheim-Bissingen, fuer Lieferungen im Rahmen des Auftrages PL-MX-2023-014 (Pressenlinie PL-500 fuer das Werk Queretaro, Mexiko).</w:t>
      </w:r>
    </w:p>
    <w:p>
      <w:pPr>
        <w:pStyle w:val="Heading3"/>
      </w:pPr>
      <w:r>
        <w:t>Buergschaftsumme und -art</w:t>
      </w:r>
    </w:p>
    <w:p>
      <w:r>
        <w:t>Buergschaftsumme: 1.450.000,00 EUR (eine Mio. vierhundertfuenfzigtausend Euro).</w:t>
      </w:r>
    </w:p>
    <w:p>
      <w:r>
        <w:t>Art: Anzahlungsbuergschaft (Advance Payment Bond) und Vertragserfuellungsbuergschaft (Performance Bond) in kombinierter Form, gemaess URDG 758 (ICC Uniform Rules for Demand Guarantees, Revision 2010).</w:t>
      </w:r>
    </w:p>
    <w:p>
      <w:pPr>
        <w:pStyle w:val="Heading3"/>
      </w:pPr>
      <w:r>
        <w:t>Konditionen</w:t>
      </w:r>
    </w:p>
    <w:p>
      <w:r>
        <w:t>Avalprovision: 1,2 % p. a. bezogen auf die Buergschaftsumme; Mindestprovision 350 EUR pro Quartal. Sicherheit: Anrechnung auf die mit der Bank vereinbarte Aval-Linie von 3,5 Mio. EUR (aktuell ausgeschoepft 2,2 Mio. EUR). Laufzeit: bis zum Bauzeitenende plus 12 Monate Gewaehrleistung, spaetestens 31. Januar 2026.</w:t>
      </w:r>
    </w:p>
    <w:p>
      <w:pPr>
        <w:pStyle w:val="Heading3"/>
      </w:pPr>
      <w:r>
        <w:t>Auszahlungsmodalitaet</w:t>
      </w:r>
    </w:p>
    <w:p>
      <w:r>
        <w:t>Die Buergschaft ist auf erstes Anfordern zahlbar (Garantie auf erstes Anfordern). Eine Auszahlung erfolgt gegen Vorlage einer schriftlichen Aufforderung des Beguenstigten unter Beifuegung einer Erklaerung, dass die Auftraggeberin ihren Vertragspflichten nicht ordnungsgemaess nachgekommen ist. Einwendungen aus dem Grundverhaeltnis sind ausgeschlossen.</w:t>
      </w:r>
    </w:p>
    <w:p>
      <w:pPr>
        <w:pStyle w:val="Heading3"/>
      </w:pPr>
      <w:r>
        <w:t>Anwendbares Recht / Streitbeilegung</w:t>
      </w:r>
    </w:p>
    <w:p>
      <w:r>
        <w:t>Anwendbares Recht: deutsches Recht unter Ausschluss des UN-Kaufrechts. Gerichtsstand: Frankfurt am Main.</w:t>
      </w:r>
    </w:p>
    <w:p>
      <w:pPr>
        <w:pStyle w:val="Heading3"/>
      </w:pPr>
      <w:r>
        <w:t>Unterschriften</w:t>
      </w:r>
    </w:p>
    <w:p>
      <w:r>
        <w:t>Ort, Datum: Koeln / Frankfurt a. M., den 17. Juli 2023</w:t>
      </w:r>
    </w:p>
    <w:p>
      <w:r>
        <w:t>_________________________            _________________________</w:t>
        <w:br/>
        <w:t>Dr. Friedhelm Stuetzel                          Sandra Becker</w:t>
        <w:br/>
        <w:t>Senior Account Manager                          Geschaeftsfuehrerin / CFO</w:t>
        <w:br/>
        <w:t>Deutsche Bank AG                       Halbreiter Maschinenbau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