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Halbreiter Maschinenbau GmbH</w:t>
      </w:r>
    </w:p>
    <w:p>
      <w:r>
        <w:rPr>
          <w:sz w:val="18"/>
        </w:rPr>
        <w:t>Industriestraße 12, 50829 Köln  |  HRB 47312, Amtsgericht Köln</w:t>
      </w:r>
    </w:p>
    <w:p>
      <w:r>
        <w:t>────────────────────────────────────────────────────────────────────────────────</w:t>
      </w:r>
    </w:p>
    <w:p>
      <w:pPr>
        <w:pStyle w:val="Heading2"/>
      </w:pPr>
      <w:r>
        <w:t>Abschlusspruefungsbericht 2022 – Auszug</w:t>
      </w:r>
    </w:p>
    <w:p/>
    <w:p>
      <w:pPr>
        <w:pStyle w:val="Heading3"/>
      </w:pPr>
      <w:r>
        <w:t>Auftrag und Pruefungsgegenstand</w:t>
      </w:r>
    </w:p>
    <w:p>
      <w:r>
        <w:t>Die BDO AG Wirtschaftspruefungsgesellschaft (Niederlassung Koeln, verantwortlicher Partner WP/StB Joachim Steger) wurde durch Beschluss der Gesellschafterversammlung vom 26. Mai 2022 mit der Pruefung des Jahresabschlusses zum 31. Dezember 2022 sowie des zugehoerigen Lageberichts der Halbreiter Maschinenbau GmbH beauftragt. Die Pruefung wurde unter Beachtung der vom IDW festgestellten deutschen Grundsaetze ordnungsmaessiger Abschlusspruefung sowie ergaenzend der International Standards on Auditing (ISA) durchgefuehrt. Der vollstaendige Bericht hat einen Umfang von 184 Seiten; nachstehend wiedergegeben ist ein Auszug fuer Zwecke der Due Diligence.</w:t>
      </w:r>
    </w:p>
    <w:p>
      <w:pPr>
        <w:pStyle w:val="Heading3"/>
      </w:pPr>
      <w:r>
        <w:t>Pruefungsergebnis (uneingeschraenkter Bestaetigungsvermerk)</w:t>
      </w:r>
    </w:p>
    <w:p>
      <w:r>
        <w:t>Nach unserer Beurteilung aufgrund der bei der Pruefung gewonnenen Erkenntnisse entspricht der Jahresabschluss den deutschen, fuer Kapitalgesellschaften geltenden handelsrechtlichen Vorschriften und vermittelt unter Beachtung der Grundsaetze ordnungsmaessiger Buchfuehrung ein den tatsaechlichen Verhaeltnissen entsprechendes Bild der Vermoegens-, Finanz- und Ertragslage der Halbreiter Maschinenbau GmbH zum 31. Dezember 2022. Der Lagebericht steht in Einklang mit dem Jahresabschluss, entspricht den gesetzlichen Vorschriften und vermittelt insgesamt ein zutreffendes Bild von der Lage der Gesellschaft.</w:t>
      </w:r>
    </w:p>
    <w:p>
      <w:pPr>
        <w:pStyle w:val="Heading3"/>
      </w:pPr>
      <w:r>
        <w:t>Kennzahlen 2022 (Auszug)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Kennzahl</w:t>
            </w:r>
          </w:p>
        </w:tc>
        <w:tc>
          <w:tcPr>
            <w:tcW w:type="dxa" w:w="2160"/>
          </w:tcPr>
          <w:p>
            <w:r>
              <w:t>2022</w:t>
            </w:r>
          </w:p>
        </w:tc>
        <w:tc>
          <w:tcPr>
            <w:tcW w:type="dxa" w:w="2160"/>
          </w:tcPr>
          <w:p>
            <w:r>
              <w:t>2021</w:t>
            </w:r>
          </w:p>
        </w:tc>
        <w:tc>
          <w:tcPr>
            <w:tcW w:type="dxa" w:w="2160"/>
          </w:tcPr>
          <w:p>
            <w:r>
              <w:t>Veraenderung</w:t>
            </w:r>
          </w:p>
        </w:tc>
      </w:tr>
      <w:tr>
        <w:tc>
          <w:tcPr>
            <w:tcW w:type="dxa" w:w="2160"/>
          </w:tcPr>
          <w:p>
            <w:r>
              <w:t>Umsatzerloese</w:t>
            </w:r>
          </w:p>
        </w:tc>
        <w:tc>
          <w:tcPr>
            <w:tcW w:type="dxa" w:w="2160"/>
          </w:tcPr>
          <w:p>
            <w:r>
              <w:t>44.180 TEUR</w:t>
            </w:r>
          </w:p>
        </w:tc>
        <w:tc>
          <w:tcPr>
            <w:tcW w:type="dxa" w:w="2160"/>
          </w:tcPr>
          <w:p>
            <w:r>
              <w:t>39.620 TEUR</w:t>
            </w:r>
          </w:p>
        </w:tc>
        <w:tc>
          <w:tcPr>
            <w:tcW w:type="dxa" w:w="2160"/>
          </w:tcPr>
          <w:p>
            <w:r>
              <w:t>+11,5 %</w:t>
            </w:r>
          </w:p>
        </w:tc>
      </w:tr>
      <w:tr>
        <w:tc>
          <w:tcPr>
            <w:tcW w:type="dxa" w:w="2160"/>
          </w:tcPr>
          <w:p>
            <w:r>
              <w:t>Materialaufwand</w:t>
            </w:r>
          </w:p>
        </w:tc>
        <w:tc>
          <w:tcPr>
            <w:tcW w:type="dxa" w:w="2160"/>
          </w:tcPr>
          <w:p>
            <w:r>
              <w:t>21.084 TEUR</w:t>
            </w:r>
          </w:p>
        </w:tc>
        <w:tc>
          <w:tcPr>
            <w:tcW w:type="dxa" w:w="2160"/>
          </w:tcPr>
          <w:p>
            <w:r>
              <w:t>19.276 TEUR</w:t>
            </w:r>
          </w:p>
        </w:tc>
        <w:tc>
          <w:tcPr>
            <w:tcW w:type="dxa" w:w="2160"/>
          </w:tcPr>
          <w:p>
            <w:r>
              <w:t>+9,4 %</w:t>
            </w:r>
          </w:p>
        </w:tc>
      </w:tr>
      <w:tr>
        <w:tc>
          <w:tcPr>
            <w:tcW w:type="dxa" w:w="2160"/>
          </w:tcPr>
          <w:p>
            <w:r>
              <w:t>Personalaufwand</w:t>
            </w:r>
          </w:p>
        </w:tc>
        <w:tc>
          <w:tcPr>
            <w:tcW w:type="dxa" w:w="2160"/>
          </w:tcPr>
          <w:p>
            <w:r>
              <w:t>15.870 TEUR</w:t>
            </w:r>
          </w:p>
        </w:tc>
        <w:tc>
          <w:tcPr>
            <w:tcW w:type="dxa" w:w="2160"/>
          </w:tcPr>
          <w:p>
            <w:r>
              <w:t>14.940 TEUR</w:t>
            </w:r>
          </w:p>
        </w:tc>
        <w:tc>
          <w:tcPr>
            <w:tcW w:type="dxa" w:w="2160"/>
          </w:tcPr>
          <w:p>
            <w:r>
              <w:t>+6,2 %</w:t>
            </w:r>
          </w:p>
        </w:tc>
      </w:tr>
      <w:tr>
        <w:tc>
          <w:tcPr>
            <w:tcW w:type="dxa" w:w="2160"/>
          </w:tcPr>
          <w:p>
            <w:r>
              <w:t>EBITDA</w:t>
            </w:r>
          </w:p>
        </w:tc>
        <w:tc>
          <w:tcPr>
            <w:tcW w:type="dxa" w:w="2160"/>
          </w:tcPr>
          <w:p>
            <w:r>
              <w:t>5.230 TEUR</w:t>
            </w:r>
          </w:p>
        </w:tc>
        <w:tc>
          <w:tcPr>
            <w:tcW w:type="dxa" w:w="2160"/>
          </w:tcPr>
          <w:p>
            <w:r>
              <w:t>4.012 TEUR</w:t>
            </w:r>
          </w:p>
        </w:tc>
        <w:tc>
          <w:tcPr>
            <w:tcW w:type="dxa" w:w="2160"/>
          </w:tcPr>
          <w:p>
            <w:r>
              <w:t>+30,4 %</w:t>
            </w:r>
          </w:p>
        </w:tc>
      </w:tr>
      <w:tr>
        <w:tc>
          <w:tcPr>
            <w:tcW w:type="dxa" w:w="2160"/>
          </w:tcPr>
          <w:p>
            <w:r>
              <w:t>EBIT</w:t>
            </w:r>
          </w:p>
        </w:tc>
        <w:tc>
          <w:tcPr>
            <w:tcW w:type="dxa" w:w="2160"/>
          </w:tcPr>
          <w:p>
            <w:r>
              <w:t>3.380 TEUR</w:t>
            </w:r>
          </w:p>
        </w:tc>
        <w:tc>
          <w:tcPr>
            <w:tcW w:type="dxa" w:w="2160"/>
          </w:tcPr>
          <w:p>
            <w:r>
              <w:t>2.420 TEUR</w:t>
            </w:r>
          </w:p>
        </w:tc>
        <w:tc>
          <w:tcPr>
            <w:tcW w:type="dxa" w:w="2160"/>
          </w:tcPr>
          <w:p>
            <w:r>
              <w:t>+39,7 %</w:t>
            </w:r>
          </w:p>
        </w:tc>
      </w:tr>
      <w:tr>
        <w:tc>
          <w:tcPr>
            <w:tcW w:type="dxa" w:w="2160"/>
          </w:tcPr>
          <w:p>
            <w:r>
              <w:t>Jahresueberschuss</w:t>
            </w:r>
          </w:p>
        </w:tc>
        <w:tc>
          <w:tcPr>
            <w:tcW w:type="dxa" w:w="2160"/>
          </w:tcPr>
          <w:p>
            <w:r>
              <w:t>2.187 TEUR</w:t>
            </w:r>
          </w:p>
        </w:tc>
        <w:tc>
          <w:tcPr>
            <w:tcW w:type="dxa" w:w="2160"/>
          </w:tcPr>
          <w:p>
            <w:r>
              <w:t>1.578 TEUR</w:t>
            </w:r>
          </w:p>
        </w:tc>
        <w:tc>
          <w:tcPr>
            <w:tcW w:type="dxa" w:w="2160"/>
          </w:tcPr>
          <w:p>
            <w:r>
              <w:t>+38,6 %</w:t>
            </w:r>
          </w:p>
        </w:tc>
      </w:tr>
      <w:tr>
        <w:tc>
          <w:tcPr>
            <w:tcW w:type="dxa" w:w="2160"/>
          </w:tcPr>
          <w:p>
            <w:r>
              <w:t>Eigenkapitalquote</w:t>
            </w:r>
          </w:p>
        </w:tc>
        <w:tc>
          <w:tcPr>
            <w:tcW w:type="dxa" w:w="2160"/>
          </w:tcPr>
          <w:p>
            <w:r>
              <w:t>38,4 %</w:t>
            </w:r>
          </w:p>
        </w:tc>
        <w:tc>
          <w:tcPr>
            <w:tcW w:type="dxa" w:w="2160"/>
          </w:tcPr>
          <w:p>
            <w:r>
              <w:t>36,1 %</w:t>
            </w:r>
          </w:p>
        </w:tc>
        <w:tc>
          <w:tcPr>
            <w:tcW w:type="dxa" w:w="2160"/>
          </w:tcPr>
          <w:p>
            <w:r>
              <w:t>+2,3 PP</w:t>
            </w:r>
          </w:p>
        </w:tc>
      </w:tr>
      <w:tr>
        <w:tc>
          <w:tcPr>
            <w:tcW w:type="dxa" w:w="2160"/>
          </w:tcPr>
          <w:p>
            <w:r>
              <w:t>Bilanzsumme</w:t>
            </w:r>
          </w:p>
        </w:tc>
        <w:tc>
          <w:tcPr>
            <w:tcW w:type="dxa" w:w="2160"/>
          </w:tcPr>
          <w:p>
            <w:r>
              <w:t>31.840 TEUR</w:t>
            </w:r>
          </w:p>
        </w:tc>
        <w:tc>
          <w:tcPr>
            <w:tcW w:type="dxa" w:w="2160"/>
          </w:tcPr>
          <w:p>
            <w:r>
              <w:t>29.220 TEUR</w:t>
            </w:r>
          </w:p>
        </w:tc>
        <w:tc>
          <w:tcPr>
            <w:tcW w:type="dxa" w:w="2160"/>
          </w:tcPr>
          <w:p>
            <w:r>
              <w:t>+9,0 %</w:t>
            </w:r>
          </w:p>
        </w:tc>
      </w:tr>
    </w:tbl>
    <w:p>
      <w:pPr>
        <w:pStyle w:val="Heading3"/>
      </w:pPr>
      <w:r>
        <w:t>Key Audit Matters (Auszug)</w:t>
      </w:r>
    </w:p>
    <w:p>
      <w:pPr>
        <w:pStyle w:val="ListBullet"/>
      </w:pPr>
      <w:r>
        <w:t>Bewertung der Pensionsrueckstellungen (Heubeck-Richttafeln 2018 G, Rechnungszins 1,80 %).</w:t>
      </w:r>
    </w:p>
    <w:p>
      <w:pPr>
        <w:pStyle w:val="ListBullet"/>
      </w:pPr>
      <w:r>
        <w:t>Forderungsbewertung im langlaufenden Anlagenbau (Percentage-of-Completion).</w:t>
      </w:r>
    </w:p>
    <w:p>
      <w:pPr>
        <w:pStyle w:val="ListBullet"/>
      </w:pPr>
      <w:r>
        <w:t>Werthaltigkeit aktivierter Entwicklungskosten (TEUR 1.420).</w:t>
      </w:r>
    </w:p>
    <w:p>
      <w:pPr>
        <w:pStyle w:val="ListBullet"/>
      </w:pPr>
      <w:r>
        <w:t>Vorratsbewertung und Identifikation langsam drehender Bestaende.</w:t>
      </w:r>
    </w:p>
    <w:p>
      <w:pPr>
        <w:pStyle w:val="ListBullet"/>
      </w:pPr>
      <w:r>
        <w:t>Konzentrationsrisiko bei den Top-5-Kunden (kumuliert 58 % Umsatzanteil).</w:t>
      </w:r>
    </w:p>
    <w:p>
      <w:pPr>
        <w:pStyle w:val="Heading3"/>
      </w:pPr>
      <w:r>
        <w:t>Erklaerung des Wirtschaftspruefers</w:t>
      </w:r>
    </w:p>
    <w:p>
      <w:r>
        <w:t>Koeln, den 12. April 2023. WP/StB Joachim Steger, BDO AG Wirtschaftspruefungsgesellschaft. Der Bericht in Langfassung liegt in Ordner 02_Finanzen 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